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4A8E2" w14:textId="1EE9A12B" w:rsidR="008568E1" w:rsidRPr="00A05AD7" w:rsidRDefault="0054048C">
      <w:pPr>
        <w:rPr>
          <w:rFonts w:asciiTheme="minorHAnsi" w:hAnsiTheme="minorHAnsi" w:cstheme="minorHAnsi"/>
          <w:b/>
          <w:bCs/>
          <w:color w:val="333333"/>
          <w:sz w:val="32"/>
          <w:szCs w:val="32"/>
          <w:u w:val="single"/>
          <w:shd w:val="clear" w:color="auto" w:fill="FFFFFF"/>
        </w:rPr>
      </w:pPr>
      <w:r w:rsidRPr="00BA1C08">
        <w:rPr>
          <w:rFonts w:asciiTheme="minorHAnsi" w:hAnsiTheme="minorHAnsi" w:cstheme="minorHAnsi"/>
          <w:b/>
          <w:bCs/>
          <w:color w:val="333333"/>
          <w:sz w:val="32"/>
          <w:szCs w:val="32"/>
          <w:u w:val="single"/>
          <w:shd w:val="clear" w:color="auto" w:fill="FFFFFF"/>
        </w:rPr>
        <w:t>First Rays of Spring</w:t>
      </w:r>
    </w:p>
    <w:p w14:paraId="4BE666FE" w14:textId="1A787A33" w:rsidR="00E26EA7" w:rsidRPr="002D0383" w:rsidRDefault="00E26EA7">
      <w:pPr>
        <w:rPr>
          <w:rFonts w:asciiTheme="minorHAnsi" w:hAnsiTheme="minorHAnsi" w:cstheme="minorHAnsi"/>
          <w:color w:val="333333"/>
          <w:sz w:val="24"/>
          <w:szCs w:val="24"/>
          <w:u w:val="single"/>
          <w:shd w:val="clear" w:color="auto" w:fill="FFFFFF"/>
        </w:rPr>
      </w:pPr>
      <w:r w:rsidRPr="002D0383">
        <w:rPr>
          <w:rFonts w:asciiTheme="minorHAnsi" w:hAnsiTheme="minorHAnsi" w:cstheme="minorHAnsi"/>
          <w:color w:val="333333"/>
          <w:sz w:val="24"/>
          <w:szCs w:val="24"/>
          <w:u w:val="single"/>
          <w:shd w:val="clear" w:color="auto" w:fill="FFFFFF"/>
        </w:rPr>
        <w:t xml:space="preserve">Executive </w:t>
      </w:r>
      <w:r w:rsidR="002D796D" w:rsidRPr="002D0383">
        <w:rPr>
          <w:rFonts w:asciiTheme="minorHAnsi" w:hAnsiTheme="minorHAnsi" w:cstheme="minorHAnsi"/>
          <w:color w:val="333333"/>
          <w:sz w:val="24"/>
          <w:szCs w:val="24"/>
          <w:u w:val="single"/>
          <w:shd w:val="clear" w:color="auto" w:fill="FFFFFF"/>
        </w:rPr>
        <w:t>Summary</w:t>
      </w:r>
    </w:p>
    <w:p w14:paraId="0D0444AD" w14:textId="143B8C5C" w:rsidR="002D796D" w:rsidRPr="002D0383" w:rsidRDefault="002D796D">
      <w:pPr>
        <w:rPr>
          <w:rFonts w:asciiTheme="minorHAnsi" w:hAnsiTheme="minorHAnsi" w:cstheme="minorHAnsi"/>
          <w:color w:val="333333"/>
          <w:sz w:val="24"/>
          <w:szCs w:val="24"/>
          <w:u w:val="single"/>
          <w:shd w:val="clear" w:color="auto" w:fill="FFFFFF"/>
        </w:rPr>
      </w:pPr>
      <w:r w:rsidRPr="002D0383">
        <w:rPr>
          <w:rFonts w:asciiTheme="minorHAnsi" w:hAnsiTheme="minorHAnsi" w:cstheme="minorHAnsi"/>
          <w:color w:val="333333"/>
          <w:sz w:val="24"/>
          <w:szCs w:val="24"/>
          <w:u w:val="single"/>
          <w:shd w:val="clear" w:color="auto" w:fill="FFFFFF"/>
        </w:rPr>
        <w:t>Technology Used</w:t>
      </w:r>
    </w:p>
    <w:p w14:paraId="4B847273" w14:textId="393ABB27" w:rsidR="007F5B91" w:rsidRPr="002D0383" w:rsidRDefault="00893A79">
      <w:pPr>
        <w:rPr>
          <w:rFonts w:asciiTheme="minorHAnsi" w:hAnsiTheme="minorHAnsi" w:cstheme="minorHAnsi"/>
          <w:color w:val="333333"/>
          <w:shd w:val="clear" w:color="auto" w:fill="FFFFFF"/>
        </w:rPr>
      </w:pPr>
      <w:r w:rsidRPr="002D0383">
        <w:rPr>
          <w:rFonts w:asciiTheme="minorHAnsi" w:hAnsiTheme="minorHAnsi" w:cstheme="minorHAnsi"/>
          <w:color w:val="333333"/>
          <w:shd w:val="clear" w:color="auto" w:fill="FFFFFF"/>
        </w:rPr>
        <w:t xml:space="preserve">Hybrid of </w:t>
      </w:r>
      <w:r w:rsidR="00B43070" w:rsidRPr="002D0383">
        <w:rPr>
          <w:rFonts w:asciiTheme="minorHAnsi" w:hAnsiTheme="minorHAnsi" w:cstheme="minorHAnsi"/>
          <w:color w:val="333333"/>
          <w:shd w:val="clear" w:color="auto" w:fill="FFFFFF"/>
        </w:rPr>
        <w:t>p</w:t>
      </w:r>
      <w:r w:rsidRPr="002D0383">
        <w:rPr>
          <w:rFonts w:asciiTheme="minorHAnsi" w:hAnsiTheme="minorHAnsi" w:cstheme="minorHAnsi"/>
          <w:color w:val="333333"/>
          <w:shd w:val="clear" w:color="auto" w:fill="FFFFFF"/>
        </w:rPr>
        <w:t>iezoelectric</w:t>
      </w:r>
      <w:r w:rsidR="00B43070" w:rsidRPr="002D0383">
        <w:rPr>
          <w:rFonts w:asciiTheme="minorHAnsi" w:hAnsiTheme="minorHAnsi" w:cstheme="minorHAnsi"/>
          <w:color w:val="333333"/>
          <w:shd w:val="clear" w:color="auto" w:fill="FFFFFF"/>
        </w:rPr>
        <w:t xml:space="preserve">-photovoltaic </w:t>
      </w:r>
      <w:r w:rsidR="007B5CE8" w:rsidRPr="002D0383">
        <w:rPr>
          <w:rFonts w:asciiTheme="minorHAnsi" w:hAnsiTheme="minorHAnsi" w:cstheme="minorHAnsi"/>
          <w:color w:val="333333"/>
          <w:shd w:val="clear" w:color="auto" w:fill="FFFFFF"/>
        </w:rPr>
        <w:t>material</w:t>
      </w:r>
      <w:r w:rsidR="003735A0" w:rsidRPr="002D0383">
        <w:rPr>
          <w:rFonts w:asciiTheme="minorHAnsi" w:hAnsiTheme="minorHAnsi" w:cstheme="minorHAnsi"/>
          <w:color w:val="333333"/>
          <w:shd w:val="clear" w:color="auto" w:fill="FFFFFF"/>
        </w:rPr>
        <w:t xml:space="preserve"> </w:t>
      </w:r>
      <w:r w:rsidR="00B95229" w:rsidRPr="002D0383">
        <w:rPr>
          <w:rFonts w:asciiTheme="minorHAnsi" w:hAnsiTheme="minorHAnsi" w:cstheme="minorHAnsi"/>
          <w:color w:val="333333"/>
          <w:shd w:val="clear" w:color="auto" w:fill="FFFFFF"/>
        </w:rPr>
        <w:t>–</w:t>
      </w:r>
      <w:r w:rsidR="003735A0" w:rsidRPr="002D0383">
        <w:rPr>
          <w:rFonts w:asciiTheme="minorHAnsi" w:hAnsiTheme="minorHAnsi" w:cstheme="minorHAnsi"/>
          <w:color w:val="333333"/>
          <w:shd w:val="clear" w:color="auto" w:fill="FFFFFF"/>
        </w:rPr>
        <w:t xml:space="preserve"> Generates</w:t>
      </w:r>
      <w:r w:rsidR="00B95229" w:rsidRPr="002D0383">
        <w:rPr>
          <w:rFonts w:asciiTheme="minorHAnsi" w:hAnsiTheme="minorHAnsi" w:cstheme="minorHAnsi"/>
          <w:color w:val="333333"/>
          <w:shd w:val="clear" w:color="auto" w:fill="FFFFFF"/>
        </w:rPr>
        <w:t xml:space="preserve"> annual capacity of </w:t>
      </w:r>
      <w:r w:rsidR="00DF79DA">
        <w:rPr>
          <w:rFonts w:asciiTheme="minorHAnsi" w:hAnsiTheme="minorHAnsi" w:cstheme="minorHAnsi"/>
          <w:color w:val="333333"/>
          <w:shd w:val="clear" w:color="auto" w:fill="FFFFFF"/>
        </w:rPr>
        <w:t>125</w:t>
      </w:r>
      <w:r w:rsidR="00B95229" w:rsidRPr="002D0383">
        <w:rPr>
          <w:rFonts w:asciiTheme="minorHAnsi" w:hAnsiTheme="minorHAnsi" w:cstheme="minorHAnsi"/>
          <w:color w:val="333333"/>
          <w:shd w:val="clear" w:color="auto" w:fill="FFFFFF"/>
        </w:rPr>
        <w:t xml:space="preserve"> MWh</w:t>
      </w:r>
    </w:p>
    <w:p w14:paraId="7724A2DC" w14:textId="1D2A9279" w:rsidR="00B95229" w:rsidRDefault="00B95229">
      <w:pPr>
        <w:rPr>
          <w:rFonts w:asciiTheme="minorHAnsi" w:hAnsiTheme="minorHAnsi" w:cstheme="minorHAnsi"/>
          <w:color w:val="333333"/>
          <w:shd w:val="clear" w:color="auto" w:fill="FFFFFF"/>
        </w:rPr>
      </w:pPr>
      <w:r w:rsidRPr="002D0383">
        <w:rPr>
          <w:rFonts w:asciiTheme="minorHAnsi" w:hAnsiTheme="minorHAnsi" w:cstheme="minorHAnsi"/>
          <w:color w:val="333333"/>
          <w:shd w:val="clear" w:color="auto" w:fill="FFFFFF"/>
        </w:rPr>
        <w:t>Photovoltaic Cells</w:t>
      </w:r>
      <w:r w:rsidR="00BE0491" w:rsidRPr="002D0383">
        <w:rPr>
          <w:rFonts w:asciiTheme="minorHAnsi" w:hAnsiTheme="minorHAnsi" w:cstheme="minorHAnsi"/>
          <w:color w:val="333333"/>
          <w:shd w:val="clear" w:color="auto" w:fill="FFFFFF"/>
        </w:rPr>
        <w:t xml:space="preserve"> with a dyed face glass – Generates annual capacity of </w:t>
      </w:r>
      <w:r w:rsidR="00632842">
        <w:rPr>
          <w:rFonts w:asciiTheme="minorHAnsi" w:hAnsiTheme="minorHAnsi" w:cstheme="minorHAnsi"/>
          <w:color w:val="333333"/>
          <w:shd w:val="clear" w:color="auto" w:fill="FFFFFF"/>
        </w:rPr>
        <w:t>2000</w:t>
      </w:r>
      <w:r w:rsidR="00BE0491" w:rsidRPr="002D0383">
        <w:rPr>
          <w:rFonts w:asciiTheme="minorHAnsi" w:hAnsiTheme="minorHAnsi" w:cstheme="minorHAnsi"/>
          <w:color w:val="333333"/>
          <w:shd w:val="clear" w:color="auto" w:fill="FFFFFF"/>
        </w:rPr>
        <w:t xml:space="preserve"> MWh</w:t>
      </w:r>
    </w:p>
    <w:p w14:paraId="0541F47E" w14:textId="21E7416C" w:rsidR="00DF79DA" w:rsidRPr="002D0383" w:rsidRDefault="00A842E0">
      <w:pPr>
        <w:rPr>
          <w:rFonts w:asciiTheme="minorHAnsi" w:hAnsiTheme="minorHAnsi" w:cstheme="minorHAnsi"/>
          <w:color w:val="333333"/>
          <w:shd w:val="clear" w:color="auto" w:fill="FFFFFF"/>
        </w:rPr>
      </w:pPr>
      <w:r w:rsidRPr="00545C81">
        <w:rPr>
          <w:rFonts w:asciiTheme="minorHAnsi" w:hAnsiTheme="minorHAnsi" w:cstheme="minorHAnsi"/>
          <w:b/>
          <w:bCs/>
          <w:color w:val="333333"/>
          <w:shd w:val="clear" w:color="auto" w:fill="FFFFFF"/>
        </w:rPr>
        <w:t xml:space="preserve">Total annual capacity of </w:t>
      </w:r>
      <w:r w:rsidR="00DF79DA" w:rsidRPr="00545C81">
        <w:rPr>
          <w:rFonts w:asciiTheme="minorHAnsi" w:hAnsiTheme="minorHAnsi" w:cstheme="minorHAnsi"/>
          <w:b/>
          <w:bCs/>
          <w:color w:val="333333"/>
          <w:shd w:val="clear" w:color="auto" w:fill="FFFFFF"/>
        </w:rPr>
        <w:t>2125</w:t>
      </w:r>
      <w:r w:rsidRPr="00545C81">
        <w:rPr>
          <w:rFonts w:asciiTheme="minorHAnsi" w:hAnsiTheme="minorHAnsi" w:cstheme="minorHAnsi"/>
          <w:b/>
          <w:bCs/>
          <w:color w:val="333333"/>
          <w:shd w:val="clear" w:color="auto" w:fill="FFFFFF"/>
        </w:rPr>
        <w:t>MWh</w:t>
      </w:r>
      <w:r>
        <w:rPr>
          <w:rFonts w:asciiTheme="minorHAnsi" w:hAnsiTheme="minorHAnsi" w:cstheme="minorHAnsi"/>
          <w:color w:val="333333"/>
          <w:shd w:val="clear" w:color="auto" w:fill="FFFFFF"/>
        </w:rPr>
        <w:t>.</w:t>
      </w:r>
    </w:p>
    <w:p w14:paraId="2398910E" w14:textId="1C54656A" w:rsidR="002D796D" w:rsidRPr="002D0383" w:rsidRDefault="002D796D">
      <w:pPr>
        <w:rPr>
          <w:rFonts w:asciiTheme="minorHAnsi" w:hAnsiTheme="minorHAnsi" w:cstheme="minorHAnsi"/>
          <w:color w:val="333333"/>
          <w:sz w:val="24"/>
          <w:szCs w:val="24"/>
          <w:u w:val="single"/>
          <w:shd w:val="clear" w:color="auto" w:fill="FFFFFF"/>
        </w:rPr>
      </w:pPr>
      <w:r w:rsidRPr="002D0383">
        <w:rPr>
          <w:rFonts w:asciiTheme="minorHAnsi" w:hAnsiTheme="minorHAnsi" w:cstheme="minorHAnsi"/>
          <w:color w:val="333333"/>
          <w:sz w:val="24"/>
          <w:szCs w:val="24"/>
          <w:u w:val="single"/>
          <w:shd w:val="clear" w:color="auto" w:fill="FFFFFF"/>
        </w:rPr>
        <w:t>Public activities and Social co-benefits</w:t>
      </w:r>
    </w:p>
    <w:p w14:paraId="6CC3475B" w14:textId="542FB6D1" w:rsidR="00BE0491" w:rsidRPr="00F73A3F" w:rsidRDefault="00B468E4" w:rsidP="00F73A3F">
      <w:pPr>
        <w:pStyle w:val="ListParagraph"/>
        <w:numPr>
          <w:ilvl w:val="0"/>
          <w:numId w:val="2"/>
        </w:numPr>
        <w:rPr>
          <w:rFonts w:asciiTheme="minorHAnsi" w:hAnsiTheme="minorHAnsi" w:cstheme="minorHAnsi"/>
          <w:color w:val="333333"/>
          <w:shd w:val="clear" w:color="auto" w:fill="FFFFFF"/>
        </w:rPr>
      </w:pPr>
      <w:r w:rsidRPr="00F73A3F">
        <w:rPr>
          <w:rFonts w:asciiTheme="minorHAnsi" w:hAnsiTheme="minorHAnsi" w:cstheme="minorHAnsi"/>
          <w:color w:val="333333"/>
          <w:shd w:val="clear" w:color="auto" w:fill="FFFFFF"/>
        </w:rPr>
        <w:t xml:space="preserve">Children play area with sand pit and use of filtered </w:t>
      </w:r>
      <w:r w:rsidR="005E06C3" w:rsidRPr="00F73A3F">
        <w:rPr>
          <w:rFonts w:asciiTheme="minorHAnsi" w:hAnsiTheme="minorHAnsi" w:cstheme="minorHAnsi"/>
          <w:color w:val="333333"/>
          <w:shd w:val="clear" w:color="auto" w:fill="FFFFFF"/>
        </w:rPr>
        <w:t>rainwater.</w:t>
      </w:r>
    </w:p>
    <w:p w14:paraId="458557C7" w14:textId="4593CF79" w:rsidR="005E06C3" w:rsidRPr="00F73A3F" w:rsidRDefault="005E06C3" w:rsidP="00F73A3F">
      <w:pPr>
        <w:pStyle w:val="ListParagraph"/>
        <w:numPr>
          <w:ilvl w:val="0"/>
          <w:numId w:val="2"/>
        </w:numPr>
        <w:rPr>
          <w:rFonts w:asciiTheme="minorHAnsi" w:hAnsiTheme="minorHAnsi" w:cstheme="minorHAnsi"/>
          <w:color w:val="333333"/>
          <w:shd w:val="clear" w:color="auto" w:fill="FFFFFF"/>
        </w:rPr>
      </w:pPr>
      <w:r w:rsidRPr="00F73A3F">
        <w:rPr>
          <w:rFonts w:asciiTheme="minorHAnsi" w:hAnsiTheme="minorHAnsi" w:cstheme="minorHAnsi"/>
          <w:color w:val="333333"/>
          <w:shd w:val="clear" w:color="auto" w:fill="FFFFFF"/>
        </w:rPr>
        <w:t xml:space="preserve">Sheltered </w:t>
      </w:r>
      <w:r w:rsidR="00110A9B" w:rsidRPr="00F73A3F">
        <w:rPr>
          <w:rFonts w:asciiTheme="minorHAnsi" w:hAnsiTheme="minorHAnsi" w:cstheme="minorHAnsi"/>
          <w:color w:val="333333"/>
          <w:shd w:val="clear" w:color="auto" w:fill="FFFFFF"/>
        </w:rPr>
        <w:t>seating</w:t>
      </w:r>
    </w:p>
    <w:p w14:paraId="528B364A" w14:textId="630A24CD" w:rsidR="00110A9B" w:rsidRPr="00F73A3F" w:rsidRDefault="00BF071E" w:rsidP="00F73A3F">
      <w:pPr>
        <w:pStyle w:val="ListParagraph"/>
        <w:numPr>
          <w:ilvl w:val="0"/>
          <w:numId w:val="2"/>
        </w:numPr>
        <w:rPr>
          <w:rFonts w:asciiTheme="minorHAnsi" w:hAnsiTheme="minorHAnsi" w:cstheme="minorHAnsi"/>
          <w:color w:val="333333"/>
          <w:shd w:val="clear" w:color="auto" w:fill="FFFFFF"/>
        </w:rPr>
      </w:pPr>
      <w:r w:rsidRPr="00F73A3F">
        <w:rPr>
          <w:rFonts w:asciiTheme="minorHAnsi" w:hAnsiTheme="minorHAnsi" w:cstheme="minorHAnsi"/>
          <w:color w:val="333333"/>
          <w:shd w:val="clear" w:color="auto" w:fill="FFFFFF"/>
        </w:rPr>
        <w:t>Art walk from the old train track</w:t>
      </w:r>
    </w:p>
    <w:p w14:paraId="78D871BC" w14:textId="49BB1F0D" w:rsidR="009E3B16" w:rsidRPr="00F73A3F" w:rsidRDefault="00BF071E" w:rsidP="00F73A3F">
      <w:pPr>
        <w:pStyle w:val="ListParagraph"/>
        <w:numPr>
          <w:ilvl w:val="0"/>
          <w:numId w:val="2"/>
        </w:numPr>
        <w:rPr>
          <w:rFonts w:asciiTheme="minorHAnsi" w:hAnsiTheme="minorHAnsi" w:cstheme="minorHAnsi"/>
          <w:color w:val="333333"/>
          <w:shd w:val="clear" w:color="auto" w:fill="FFFFFF"/>
        </w:rPr>
      </w:pPr>
      <w:r w:rsidRPr="00F73A3F">
        <w:rPr>
          <w:rFonts w:asciiTheme="minorHAnsi" w:hAnsiTheme="minorHAnsi" w:cstheme="minorHAnsi"/>
          <w:color w:val="333333"/>
          <w:shd w:val="clear" w:color="auto" w:fill="FFFFFF"/>
        </w:rPr>
        <w:t>Out</w:t>
      </w:r>
      <w:r w:rsidR="004E4712" w:rsidRPr="00F73A3F">
        <w:rPr>
          <w:rFonts w:asciiTheme="minorHAnsi" w:hAnsiTheme="minorHAnsi" w:cstheme="minorHAnsi"/>
          <w:color w:val="333333"/>
          <w:shd w:val="clear" w:color="auto" w:fill="FFFFFF"/>
        </w:rPr>
        <w:t>door stage for multiuse</w:t>
      </w:r>
    </w:p>
    <w:p w14:paraId="2AA31110" w14:textId="786BAA99" w:rsidR="009E3B16" w:rsidRPr="00F73A3F" w:rsidRDefault="009E3B16" w:rsidP="00F73A3F">
      <w:pPr>
        <w:pStyle w:val="ListParagraph"/>
        <w:numPr>
          <w:ilvl w:val="0"/>
          <w:numId w:val="2"/>
        </w:numPr>
        <w:rPr>
          <w:rFonts w:asciiTheme="minorHAnsi" w:hAnsiTheme="minorHAnsi" w:cstheme="minorHAnsi"/>
          <w:color w:val="333333"/>
          <w:shd w:val="clear" w:color="auto" w:fill="FFFFFF"/>
        </w:rPr>
      </w:pPr>
      <w:r w:rsidRPr="00F73A3F">
        <w:rPr>
          <w:rFonts w:asciiTheme="minorHAnsi" w:hAnsiTheme="minorHAnsi" w:cstheme="minorHAnsi"/>
          <w:color w:val="333333"/>
          <w:shd w:val="clear" w:color="auto" w:fill="FFFFFF"/>
        </w:rPr>
        <w:t xml:space="preserve">Green-Blue </w:t>
      </w:r>
      <w:r w:rsidR="00520F5A" w:rsidRPr="00F73A3F">
        <w:rPr>
          <w:rFonts w:asciiTheme="minorHAnsi" w:hAnsiTheme="minorHAnsi" w:cstheme="minorHAnsi"/>
          <w:color w:val="333333"/>
          <w:shd w:val="clear" w:color="auto" w:fill="FFFFFF"/>
        </w:rPr>
        <w:t>infrastructure for environmental and social benefit</w:t>
      </w:r>
    </w:p>
    <w:p w14:paraId="6D7EFAC2" w14:textId="1E7A9711" w:rsidR="002D796D" w:rsidRPr="002D0383" w:rsidRDefault="002D796D">
      <w:pPr>
        <w:rPr>
          <w:rFonts w:asciiTheme="minorHAnsi" w:hAnsiTheme="minorHAnsi" w:cstheme="minorHAnsi"/>
          <w:color w:val="333333"/>
          <w:sz w:val="24"/>
          <w:szCs w:val="24"/>
          <w:u w:val="single"/>
          <w:shd w:val="clear" w:color="auto" w:fill="FFFFFF"/>
        </w:rPr>
      </w:pPr>
      <w:r w:rsidRPr="002D0383">
        <w:rPr>
          <w:rFonts w:asciiTheme="minorHAnsi" w:hAnsiTheme="minorHAnsi" w:cstheme="minorHAnsi"/>
          <w:color w:val="333333"/>
          <w:sz w:val="24"/>
          <w:szCs w:val="24"/>
          <w:u w:val="single"/>
          <w:shd w:val="clear" w:color="auto" w:fill="FFFFFF"/>
        </w:rPr>
        <w:t>UN Sustainability Goals</w:t>
      </w:r>
      <w:r w:rsidR="00631D74" w:rsidRPr="002D0383">
        <w:rPr>
          <w:rFonts w:asciiTheme="minorHAnsi" w:hAnsiTheme="minorHAnsi" w:cstheme="minorHAnsi"/>
          <w:color w:val="333333"/>
          <w:sz w:val="24"/>
          <w:szCs w:val="24"/>
          <w:u w:val="single"/>
          <w:shd w:val="clear" w:color="auto" w:fill="FFFFFF"/>
        </w:rPr>
        <w:t xml:space="preserve"> Advanced</w:t>
      </w:r>
    </w:p>
    <w:p w14:paraId="51826263" w14:textId="652CD936" w:rsidR="002D796D" w:rsidRPr="002D0383" w:rsidRDefault="00425204" w:rsidP="00F73A3F">
      <w:pPr>
        <w:spacing w:after="0"/>
        <w:rPr>
          <w:rFonts w:asciiTheme="minorHAnsi" w:hAnsiTheme="minorHAnsi" w:cstheme="minorHAnsi"/>
        </w:rPr>
      </w:pPr>
      <w:r w:rsidRPr="00966EE9">
        <w:rPr>
          <w:rFonts w:asciiTheme="minorHAnsi" w:hAnsiTheme="minorHAnsi" w:cstheme="minorHAnsi"/>
          <w:b/>
          <w:bCs/>
          <w:color w:val="333333"/>
          <w:shd w:val="clear" w:color="auto" w:fill="FFFFFF"/>
        </w:rPr>
        <w:t>Goal 3</w:t>
      </w:r>
      <w:r w:rsidRPr="002D0383">
        <w:rPr>
          <w:rFonts w:asciiTheme="minorHAnsi" w:hAnsiTheme="minorHAnsi" w:cstheme="minorHAnsi"/>
          <w:color w:val="333333"/>
          <w:shd w:val="clear" w:color="auto" w:fill="FFFFFF"/>
        </w:rPr>
        <w:t xml:space="preserve"> - </w:t>
      </w:r>
      <w:r w:rsidRPr="002D0383">
        <w:rPr>
          <w:rFonts w:asciiTheme="minorHAnsi" w:hAnsiTheme="minorHAnsi" w:cstheme="minorHAnsi"/>
        </w:rPr>
        <w:t>Ensure healthy lives and promote well-being for all at all ages</w:t>
      </w:r>
    </w:p>
    <w:p w14:paraId="0495CA0F" w14:textId="793714F2" w:rsidR="00425204" w:rsidRPr="002D0383" w:rsidRDefault="00317BB3" w:rsidP="00F73A3F">
      <w:pPr>
        <w:spacing w:after="0"/>
        <w:rPr>
          <w:rFonts w:asciiTheme="minorHAnsi" w:hAnsiTheme="minorHAnsi" w:cstheme="minorHAnsi"/>
          <w:color w:val="333333"/>
          <w:shd w:val="clear" w:color="auto" w:fill="FFFFFF"/>
        </w:rPr>
      </w:pPr>
      <w:r w:rsidRPr="00966EE9">
        <w:rPr>
          <w:rFonts w:asciiTheme="minorHAnsi" w:hAnsiTheme="minorHAnsi" w:cstheme="minorHAnsi"/>
          <w:b/>
          <w:bCs/>
        </w:rPr>
        <w:t>Goal 7</w:t>
      </w:r>
      <w:r w:rsidRPr="002D0383">
        <w:rPr>
          <w:rFonts w:asciiTheme="minorHAnsi" w:hAnsiTheme="minorHAnsi" w:cstheme="minorHAnsi"/>
        </w:rPr>
        <w:t xml:space="preserve"> - Ensure access to affordable, reliable, sustainable and modern energy for all</w:t>
      </w:r>
    </w:p>
    <w:p w14:paraId="031C767A" w14:textId="72CE263A" w:rsidR="00520F5A" w:rsidRPr="002D0383" w:rsidRDefault="00B51BB6" w:rsidP="00F73A3F">
      <w:pPr>
        <w:spacing w:after="0"/>
        <w:rPr>
          <w:rFonts w:asciiTheme="minorHAnsi" w:hAnsiTheme="minorHAnsi" w:cstheme="minorHAnsi"/>
        </w:rPr>
      </w:pPr>
      <w:r w:rsidRPr="00966EE9">
        <w:rPr>
          <w:rFonts w:asciiTheme="minorHAnsi" w:hAnsiTheme="minorHAnsi" w:cstheme="minorHAnsi"/>
          <w:b/>
          <w:bCs/>
          <w:color w:val="333333"/>
          <w:shd w:val="clear" w:color="auto" w:fill="FFFFFF"/>
        </w:rPr>
        <w:t>Goal 11</w:t>
      </w:r>
      <w:r w:rsidRPr="002D0383">
        <w:rPr>
          <w:rFonts w:asciiTheme="minorHAnsi" w:hAnsiTheme="minorHAnsi" w:cstheme="minorHAnsi"/>
          <w:color w:val="333333"/>
          <w:shd w:val="clear" w:color="auto" w:fill="FFFFFF"/>
        </w:rPr>
        <w:t xml:space="preserve"> - </w:t>
      </w:r>
      <w:r w:rsidRPr="002D0383">
        <w:rPr>
          <w:rFonts w:asciiTheme="minorHAnsi" w:hAnsiTheme="minorHAnsi" w:cstheme="minorHAnsi"/>
        </w:rPr>
        <w:t>Make cities and human settlements inclusive, safe, resilient and sustainable</w:t>
      </w:r>
    </w:p>
    <w:p w14:paraId="699D6532" w14:textId="13092E4A" w:rsidR="00B51BB6" w:rsidRPr="002D0383" w:rsidRDefault="00B51BB6" w:rsidP="00F73A3F">
      <w:pPr>
        <w:spacing w:after="0"/>
        <w:rPr>
          <w:rFonts w:asciiTheme="minorHAnsi" w:hAnsiTheme="minorHAnsi" w:cstheme="minorHAnsi"/>
        </w:rPr>
      </w:pPr>
      <w:r w:rsidRPr="00966EE9">
        <w:rPr>
          <w:rFonts w:asciiTheme="minorHAnsi" w:hAnsiTheme="minorHAnsi" w:cstheme="minorHAnsi"/>
          <w:b/>
          <w:bCs/>
        </w:rPr>
        <w:t>Goal 12</w:t>
      </w:r>
      <w:r w:rsidRPr="002D0383">
        <w:rPr>
          <w:rFonts w:asciiTheme="minorHAnsi" w:hAnsiTheme="minorHAnsi" w:cstheme="minorHAnsi"/>
        </w:rPr>
        <w:t xml:space="preserve"> - Ensure sustainable consumption and production patterns</w:t>
      </w:r>
    </w:p>
    <w:p w14:paraId="60443244" w14:textId="77777777" w:rsidR="00B34E35" w:rsidRPr="002D0383" w:rsidRDefault="00B34E35" w:rsidP="00F73A3F">
      <w:pPr>
        <w:suppressAutoHyphens w:val="0"/>
        <w:autoSpaceDE w:val="0"/>
        <w:adjustRightInd w:val="0"/>
        <w:spacing w:after="0"/>
        <w:rPr>
          <w:rFonts w:asciiTheme="minorHAnsi" w:hAnsiTheme="minorHAnsi" w:cstheme="minorHAnsi"/>
        </w:rPr>
      </w:pPr>
      <w:r w:rsidRPr="00966EE9">
        <w:rPr>
          <w:rFonts w:asciiTheme="minorHAnsi" w:hAnsiTheme="minorHAnsi" w:cstheme="minorHAnsi"/>
          <w:b/>
          <w:bCs/>
        </w:rPr>
        <w:t>Goal 15</w:t>
      </w:r>
      <w:r w:rsidRPr="002D0383">
        <w:rPr>
          <w:rFonts w:asciiTheme="minorHAnsi" w:hAnsiTheme="minorHAnsi" w:cstheme="minorHAnsi"/>
        </w:rPr>
        <w:t xml:space="preserve"> - Protect, restore and promote sustainable use of terrestrial ecosystems,</w:t>
      </w:r>
    </w:p>
    <w:p w14:paraId="33493751" w14:textId="77777777" w:rsidR="00B34E35" w:rsidRPr="002D0383" w:rsidRDefault="00B34E35" w:rsidP="00F73A3F">
      <w:pPr>
        <w:suppressAutoHyphens w:val="0"/>
        <w:autoSpaceDE w:val="0"/>
        <w:adjustRightInd w:val="0"/>
        <w:spacing w:after="0"/>
        <w:rPr>
          <w:rFonts w:asciiTheme="minorHAnsi" w:hAnsiTheme="minorHAnsi" w:cstheme="minorHAnsi"/>
        </w:rPr>
      </w:pPr>
      <w:r w:rsidRPr="002D0383">
        <w:rPr>
          <w:rFonts w:asciiTheme="minorHAnsi" w:hAnsiTheme="minorHAnsi" w:cstheme="minorHAnsi"/>
        </w:rPr>
        <w:t>sustainably manage forests, combat desertification, and halt and reverse land</w:t>
      </w:r>
    </w:p>
    <w:p w14:paraId="0C678153" w14:textId="773BB9AB" w:rsidR="00520F5A" w:rsidRDefault="00B34E35" w:rsidP="00F73A3F">
      <w:pPr>
        <w:spacing w:after="0"/>
        <w:rPr>
          <w:rFonts w:asciiTheme="minorHAnsi" w:hAnsiTheme="minorHAnsi" w:cstheme="minorHAnsi"/>
        </w:rPr>
      </w:pPr>
      <w:r w:rsidRPr="002D0383">
        <w:rPr>
          <w:rFonts w:asciiTheme="minorHAnsi" w:hAnsiTheme="minorHAnsi" w:cstheme="minorHAnsi"/>
        </w:rPr>
        <w:t>degradation and halt biodiversity loss</w:t>
      </w:r>
    </w:p>
    <w:p w14:paraId="494ED6BF" w14:textId="77777777" w:rsidR="00F73A3F" w:rsidRPr="002D0383" w:rsidRDefault="00F73A3F" w:rsidP="00F73A3F">
      <w:pPr>
        <w:spacing w:after="0"/>
        <w:rPr>
          <w:rFonts w:asciiTheme="minorHAnsi" w:hAnsiTheme="minorHAnsi" w:cstheme="minorHAnsi"/>
          <w:color w:val="333333"/>
          <w:shd w:val="clear" w:color="auto" w:fill="FFFFFF"/>
        </w:rPr>
      </w:pPr>
    </w:p>
    <w:p w14:paraId="6A701B55" w14:textId="77777777" w:rsidR="00BF712D" w:rsidRPr="00966EE9" w:rsidRDefault="00BF712D" w:rsidP="00BF712D">
      <w:pPr>
        <w:rPr>
          <w:rFonts w:asciiTheme="minorHAnsi" w:hAnsiTheme="minorHAnsi" w:cstheme="minorHAnsi"/>
          <w:color w:val="333333"/>
          <w:sz w:val="24"/>
          <w:szCs w:val="24"/>
          <w:u w:val="single"/>
          <w:shd w:val="clear" w:color="auto" w:fill="FFFFFF"/>
        </w:rPr>
      </w:pPr>
      <w:r w:rsidRPr="00966EE9">
        <w:rPr>
          <w:rFonts w:asciiTheme="minorHAnsi" w:hAnsiTheme="minorHAnsi" w:cstheme="minorHAnsi"/>
          <w:color w:val="333333"/>
          <w:sz w:val="24"/>
          <w:szCs w:val="24"/>
          <w:u w:val="single"/>
          <w:shd w:val="clear" w:color="auto" w:fill="FFFFFF"/>
        </w:rPr>
        <w:t>Environmental Impact Summary</w:t>
      </w:r>
    </w:p>
    <w:p w14:paraId="69D588EF" w14:textId="77777777" w:rsidR="00BF712D" w:rsidRPr="00A05AD7" w:rsidRDefault="00BF712D" w:rsidP="00BF712D">
      <w:r w:rsidRPr="00A05AD7">
        <w:t>Piezoelectric materials commonly have negative environmental impacts for its emissions and toxic chemical usages. The piezoelectric material in this design is the organic polymer, polyvinylidene fluoride (PVDF). It has beneficial properties such as being biodegradable and non-toxic. This polymer is also suited for the outdoor environment, being durable and has a high dielectric strength ensuring longevity and efficiency.  It’s processing and biocompatibility makes it a suitable option as a piezoelectric material.  In addition, semiconducting polymers can be used as an organic photovoltaic material meaning it is fully degradable. (Vatansever, et al., 2012)</w:t>
      </w:r>
    </w:p>
    <w:p w14:paraId="3FF318BC" w14:textId="77777777" w:rsidR="00BF712D" w:rsidRPr="00A05AD7" w:rsidRDefault="00BF712D" w:rsidP="00BF712D">
      <w:r w:rsidRPr="00A05AD7">
        <w:t>Photovoltaic productions also involve hazardous contaminants which pollute air and water supply. There are further emissions for the energy required for production. Despite this, it is much less damaging than common fossil fuels. Nevertheless, this design mitigates environmental impacts through the ability of supporting larger vegetation cover and thereby biodiversity, which is long-term beneficial to the natural ecosystem. Other benefits include the recycling and reuse of water. The park is self-sufficient in energy while also providing for local communities.</w:t>
      </w:r>
    </w:p>
    <w:p w14:paraId="1322875F" w14:textId="2E000602" w:rsidR="00520F5A" w:rsidRPr="00A05AD7" w:rsidRDefault="00BF712D">
      <w:r w:rsidRPr="00A05AD7">
        <w:t>Construction emissions for the assembling of the design include machinery usage and other construction materials for the foundation and support. However this initial impact will support a design with expected low maintenance and longevity. This design uses locally sourced materials and products to mitigate transportation emissions. Germany has a well-developed solar panel manufacturing industry. The instalment of blue and green infrastructure such as swale are further long-term benefits of the design to mitigate initial environmental impact which also provide social benefits. There will be emissions and waste produced to replace solar panels every 30 years.  However, energy production and benefit to the environment outweighs this.</w:t>
      </w:r>
    </w:p>
    <w:p w14:paraId="4FA5AD03" w14:textId="3F2A66E5" w:rsidR="004A5898" w:rsidRPr="00A05AD7" w:rsidRDefault="008749FE" w:rsidP="00C3366C">
      <w:pPr>
        <w:rPr>
          <w:sz w:val="24"/>
          <w:szCs w:val="24"/>
          <w:u w:val="single"/>
        </w:rPr>
      </w:pPr>
      <w:r w:rsidRPr="00A05AD7">
        <w:rPr>
          <w:sz w:val="24"/>
          <w:szCs w:val="24"/>
          <w:u w:val="single"/>
        </w:rPr>
        <w:lastRenderedPageBreak/>
        <w:t xml:space="preserve">Narrative of </w:t>
      </w:r>
      <w:r w:rsidR="00BF712D" w:rsidRPr="00A05AD7">
        <w:rPr>
          <w:sz w:val="24"/>
          <w:szCs w:val="24"/>
          <w:u w:val="single"/>
        </w:rPr>
        <w:t>First Rays of Spring</w:t>
      </w:r>
    </w:p>
    <w:p w14:paraId="2DE002BB" w14:textId="4C929D18" w:rsidR="004A5898" w:rsidRPr="00A05AD7" w:rsidRDefault="00906392">
      <w:r w:rsidRPr="00A05AD7">
        <w:t>The use of a biophilic design is t</w:t>
      </w:r>
      <w:r w:rsidR="0006692C" w:rsidRPr="00A05AD7">
        <w:t>o</w:t>
      </w:r>
      <w:r w:rsidRPr="00A05AD7">
        <w:t xml:space="preserve"> embrac</w:t>
      </w:r>
      <w:r w:rsidR="0006692C" w:rsidRPr="00A05AD7">
        <w:t>e the</w:t>
      </w:r>
      <w:r w:rsidRPr="00A05AD7">
        <w:t xml:space="preserve"> natural form and beauty. </w:t>
      </w:r>
      <w:r w:rsidR="003C70EF" w:rsidRPr="00A05AD7">
        <w:t xml:space="preserve">This allows fluid connections </w:t>
      </w:r>
      <w:r w:rsidRPr="00A05AD7">
        <w:t xml:space="preserve">between urban realms </w:t>
      </w:r>
      <w:r w:rsidR="00FB16F4" w:rsidRPr="00A05AD7">
        <w:t xml:space="preserve">and </w:t>
      </w:r>
      <w:r w:rsidRPr="00A05AD7">
        <w:t>natural landscape</w:t>
      </w:r>
      <w:r w:rsidR="00FB16F4" w:rsidRPr="00A05AD7">
        <w:t>s</w:t>
      </w:r>
      <w:r w:rsidRPr="00A05AD7">
        <w:t xml:space="preserve">. Studies have shown that biophilic urbanism leads to </w:t>
      </w:r>
      <w:r w:rsidR="009274EB" w:rsidRPr="00A05AD7">
        <w:t>soc</w:t>
      </w:r>
      <w:r w:rsidR="00661439" w:rsidRPr="00A05AD7">
        <w:t>ietal</w:t>
      </w:r>
      <w:r w:rsidR="009274EB" w:rsidRPr="00A05AD7">
        <w:t xml:space="preserve"> benefits such as</w:t>
      </w:r>
      <w:r w:rsidRPr="00A05AD7">
        <w:t xml:space="preserve"> stress</w:t>
      </w:r>
      <w:r w:rsidR="00661439" w:rsidRPr="00A05AD7">
        <w:t xml:space="preserve"> reduction</w:t>
      </w:r>
      <w:r w:rsidRPr="00A05AD7">
        <w:t xml:space="preserve">, depression and anxiety. It further enhances productivity, healing and physiological immunity (Russo, Alessio; Cirella, Giuseppe T, 2017). A biophilic design therefore contributes </w:t>
      </w:r>
      <w:r w:rsidR="00661439" w:rsidRPr="00A05AD7">
        <w:t>to goal 3 of the</w:t>
      </w:r>
      <w:r w:rsidRPr="00A05AD7">
        <w:t xml:space="preserve"> UN, “Ensuring good health and promoting wellbeing” and should be further explored with renewable energy design</w:t>
      </w:r>
      <w:r w:rsidR="004E050E" w:rsidRPr="00A05AD7">
        <w:t>s</w:t>
      </w:r>
      <w:r w:rsidRPr="00A05AD7">
        <w:t xml:space="preserve">. With increasing significance to transition away from fossil fuel, this </w:t>
      </w:r>
      <w:r w:rsidR="001F4550" w:rsidRPr="00A05AD7">
        <w:t>philosophy will</w:t>
      </w:r>
      <w:r w:rsidR="00077293" w:rsidRPr="00A05AD7">
        <w:t xml:space="preserve"> </w:t>
      </w:r>
      <w:r w:rsidRPr="00A05AD7">
        <w:t xml:space="preserve">allow </w:t>
      </w:r>
      <w:r w:rsidR="00DE1B63" w:rsidRPr="00A05AD7">
        <w:t xml:space="preserve">integration of </w:t>
      </w:r>
      <w:r w:rsidRPr="00A05AD7">
        <w:t xml:space="preserve">renewable infrastructure into the public realm, particularly in urban landscapes through organic designs, embracing the natural structure in the form of an artistic piece. The main inspiration behind this design is the floral form and structure to demonstrate the fluidity </w:t>
      </w:r>
      <w:r w:rsidR="00DA228E" w:rsidRPr="00A05AD7">
        <w:t>and</w:t>
      </w:r>
      <w:r w:rsidRPr="00A05AD7">
        <w:t xml:space="preserve"> interconnect</w:t>
      </w:r>
      <w:r w:rsidR="00DA228E" w:rsidRPr="00A05AD7">
        <w:t>ion of nature</w:t>
      </w:r>
      <w:r w:rsidRPr="00A05AD7">
        <w:t>. From the petals which capture the sun</w:t>
      </w:r>
      <w:r w:rsidR="0022323A" w:rsidRPr="00A05AD7">
        <w:t>,</w:t>
      </w:r>
      <w:r w:rsidRPr="00A05AD7">
        <w:t xml:space="preserve"> to </w:t>
      </w:r>
      <w:r w:rsidR="001F4550" w:rsidRPr="00A05AD7">
        <w:t>the</w:t>
      </w:r>
      <w:r w:rsidR="005579AA" w:rsidRPr="00A05AD7">
        <w:t xml:space="preserve"> drift</w:t>
      </w:r>
      <w:r w:rsidRPr="00A05AD7">
        <w:t xml:space="preserve"> of the leaves in the wind, it is a multifunctional artistic </w:t>
      </w:r>
      <w:r w:rsidR="0022323A" w:rsidRPr="00A05AD7">
        <w:t>model</w:t>
      </w:r>
      <w:r w:rsidRPr="00A05AD7">
        <w:t xml:space="preserve">. The </w:t>
      </w:r>
      <w:r w:rsidR="00CD4202" w:rsidRPr="00A05AD7">
        <w:t>aim</w:t>
      </w:r>
      <w:r w:rsidRPr="00A05AD7">
        <w:t xml:space="preserve"> was </w:t>
      </w:r>
      <w:r w:rsidR="00CD4202" w:rsidRPr="00A05AD7">
        <w:t>a designi</w:t>
      </w:r>
      <w:r w:rsidR="003B4671" w:rsidRPr="00A05AD7">
        <w:t>ng</w:t>
      </w:r>
      <w:r w:rsidRPr="00A05AD7">
        <w:t xml:space="preserve"> </w:t>
      </w:r>
      <w:r w:rsidR="003B4671" w:rsidRPr="00A05AD7">
        <w:t>which</w:t>
      </w:r>
      <w:r w:rsidRPr="00A05AD7">
        <w:t xml:space="preserve"> embrace</w:t>
      </w:r>
      <w:r w:rsidR="003B4671" w:rsidRPr="00A05AD7">
        <w:t>d</w:t>
      </w:r>
      <w:r w:rsidRPr="00A05AD7">
        <w:t xml:space="preserve"> urban climates</w:t>
      </w:r>
      <w:r w:rsidR="00922D11" w:rsidRPr="00A05AD7">
        <w:t>, often intensifie</w:t>
      </w:r>
      <w:r w:rsidR="003B4671" w:rsidRPr="00A05AD7">
        <w:t>d</w:t>
      </w:r>
      <w:r w:rsidR="00922D11" w:rsidRPr="00A05AD7">
        <w:t xml:space="preserve"> weather,</w:t>
      </w:r>
      <w:r w:rsidRPr="00A05AD7">
        <w:t xml:space="preserve"> and to integrate the design into the landscape.</w:t>
      </w:r>
      <w:r w:rsidR="00C3366C" w:rsidRPr="00A05AD7">
        <w:t xml:space="preserve"> </w:t>
      </w:r>
      <w:r w:rsidR="0022323A" w:rsidRPr="00A05AD7">
        <w:t xml:space="preserve">The historical significance of </w:t>
      </w:r>
      <w:r w:rsidR="00C3366C" w:rsidRPr="00A05AD7">
        <w:t>Mannheim is a hotspot for German art and culture</w:t>
      </w:r>
      <w:r w:rsidR="0022323A" w:rsidRPr="00A05AD7">
        <w:t xml:space="preserve">. </w:t>
      </w:r>
      <w:r w:rsidR="00C3366C" w:rsidRPr="00A05AD7">
        <w:t xml:space="preserve">A sculptural </w:t>
      </w:r>
      <w:r w:rsidR="005A2D7F" w:rsidRPr="00A05AD7">
        <w:t>artwork</w:t>
      </w:r>
      <w:r w:rsidR="00C3366C" w:rsidRPr="00A05AD7">
        <w:t xml:space="preserve"> to represent the balance of </w:t>
      </w:r>
      <w:r w:rsidR="005C52FC" w:rsidRPr="00A05AD7">
        <w:t>design</w:t>
      </w:r>
      <w:r w:rsidR="00C3366C" w:rsidRPr="00A05AD7">
        <w:t xml:space="preserve"> and science within </w:t>
      </w:r>
      <w:r w:rsidR="00EE4850" w:rsidRPr="00A05AD7">
        <w:t>the city’</w:t>
      </w:r>
      <w:r w:rsidR="00807EAD" w:rsidRPr="00A05AD7">
        <w:t>s</w:t>
      </w:r>
      <w:r w:rsidR="00EE4850" w:rsidRPr="00A05AD7">
        <w:t xml:space="preserve"> park</w:t>
      </w:r>
      <w:r w:rsidR="00C3366C" w:rsidRPr="00A05AD7">
        <w:t xml:space="preserve"> is </w:t>
      </w:r>
      <w:r w:rsidR="002504F0" w:rsidRPr="00A05AD7">
        <w:t>a ver</w:t>
      </w:r>
      <w:r w:rsidR="005A2D7F" w:rsidRPr="00A05AD7">
        <w:t>y</w:t>
      </w:r>
      <w:r w:rsidR="002504F0" w:rsidRPr="00A05AD7">
        <w:t xml:space="preserve"> fitting</w:t>
      </w:r>
      <w:r w:rsidR="0034205E" w:rsidRPr="00A05AD7">
        <w:t xml:space="preserve">, in relation to </w:t>
      </w:r>
      <w:r w:rsidR="00807EAD" w:rsidRPr="00A05AD7">
        <w:t xml:space="preserve">the city’s </w:t>
      </w:r>
      <w:r w:rsidR="00C3366C" w:rsidRPr="00A05AD7">
        <w:t>historical scientific achievement</w:t>
      </w:r>
      <w:r w:rsidR="00807EAD" w:rsidRPr="00A05AD7">
        <w:t>.</w:t>
      </w:r>
      <w:r w:rsidR="00C3366C" w:rsidRPr="00A05AD7">
        <w:t xml:space="preserve"> </w:t>
      </w:r>
    </w:p>
    <w:p w14:paraId="39587ED4" w14:textId="574B5932" w:rsidR="004F5AAA" w:rsidRPr="00A05AD7" w:rsidRDefault="001664B7">
      <w:r w:rsidRPr="00A05AD7">
        <w:t xml:space="preserve">The central piece is a sculptured flower head. It’s petals are photovoltaic cells. It uses face glass on the solar panels (Ferry &amp; Monoian, 2019), dyed to resemble </w:t>
      </w:r>
      <w:r w:rsidR="00587599" w:rsidRPr="00A05AD7">
        <w:t xml:space="preserve">the </w:t>
      </w:r>
      <w:r w:rsidRPr="00A05AD7">
        <w:t xml:space="preserve">floral </w:t>
      </w:r>
      <w:r w:rsidR="00587599" w:rsidRPr="00A05AD7">
        <w:t>aesthetic</w:t>
      </w:r>
      <w:r w:rsidR="00537D83" w:rsidRPr="00A05AD7">
        <w:t>. It</w:t>
      </w:r>
      <w:r w:rsidR="00A13F2A" w:rsidRPr="00A05AD7">
        <w:t>’s</w:t>
      </w:r>
      <w:r w:rsidR="00537D83" w:rsidRPr="00A05AD7">
        <w:t xml:space="preserve"> capable of</w:t>
      </w:r>
      <w:r w:rsidRPr="00A05AD7">
        <w:t xml:space="preserve"> generating </w:t>
      </w:r>
      <w:r w:rsidR="00316D23" w:rsidRPr="00A05AD7">
        <w:t>an annually capacity of</w:t>
      </w:r>
      <w:r w:rsidR="00545C81" w:rsidRPr="00A05AD7">
        <w:t xml:space="preserve"> 2000</w:t>
      </w:r>
      <w:r w:rsidRPr="00A05AD7">
        <w:t xml:space="preserve"> M</w:t>
      </w:r>
      <w:r w:rsidR="00316D23" w:rsidRPr="00A05AD7">
        <w:t>Wh</w:t>
      </w:r>
      <w:r w:rsidR="00296E51" w:rsidRPr="00A05AD7">
        <w:t>,</w:t>
      </w:r>
      <w:r w:rsidRPr="00A05AD7">
        <w:t xml:space="preserve"> at </w:t>
      </w:r>
      <w:r w:rsidR="00296E51" w:rsidRPr="00A05AD7">
        <w:t>a</w:t>
      </w:r>
      <w:r w:rsidR="000C43FD" w:rsidRPr="00A05AD7">
        <w:t>n</w:t>
      </w:r>
      <w:r w:rsidRPr="00A05AD7">
        <w:t xml:space="preserve"> efficiency of </w:t>
      </w:r>
      <w:r w:rsidR="00545C81" w:rsidRPr="00A05AD7">
        <w:t>2</w:t>
      </w:r>
      <w:r w:rsidRPr="00A05AD7">
        <w:t xml:space="preserve">0%. The use of solar energy is common in </w:t>
      </w:r>
      <w:r w:rsidR="00A62CA7" w:rsidRPr="00A05AD7">
        <w:t xml:space="preserve">urban areas </w:t>
      </w:r>
      <w:r w:rsidRPr="00A05AD7">
        <w:t xml:space="preserve">and </w:t>
      </w:r>
      <w:r w:rsidR="000C43FD" w:rsidRPr="00A05AD7">
        <w:t>its</w:t>
      </w:r>
      <w:r w:rsidRPr="00A05AD7">
        <w:t xml:space="preserve"> static nature makes it the most appropriate. The spread of the petal in th</w:t>
      </w:r>
      <w:r w:rsidR="00D363F3" w:rsidRPr="00A05AD7">
        <w:t>is</w:t>
      </w:r>
      <w:r w:rsidRPr="00A05AD7">
        <w:t xml:space="preserve"> design provides other benefits </w:t>
      </w:r>
      <w:r w:rsidR="00D363F3" w:rsidRPr="00A05AD7">
        <w:t>such</w:t>
      </w:r>
      <w:r w:rsidRPr="00A05AD7">
        <w:t xml:space="preserve"> as </w:t>
      </w:r>
      <w:r w:rsidR="0054655F" w:rsidRPr="00A05AD7">
        <w:t xml:space="preserve">offering </w:t>
      </w:r>
      <w:r w:rsidRPr="00A05AD7">
        <w:t xml:space="preserve">shade and a comfortable seating experience. </w:t>
      </w:r>
      <w:r w:rsidR="006901B2" w:rsidRPr="00A05AD7">
        <w:t>In addition,</w:t>
      </w:r>
      <w:r w:rsidRPr="00A05AD7">
        <w:t xml:space="preserve"> it’s large </w:t>
      </w:r>
      <w:r w:rsidR="00E326F8" w:rsidRPr="00A05AD7">
        <w:t xml:space="preserve">cover </w:t>
      </w:r>
      <w:r w:rsidRPr="00A05AD7">
        <w:t>collects water</w:t>
      </w:r>
      <w:r w:rsidR="00115155" w:rsidRPr="00A05AD7">
        <w:t xml:space="preserve"> </w:t>
      </w:r>
      <w:r w:rsidR="00E326F8" w:rsidRPr="00A05AD7">
        <w:t>during rainfall</w:t>
      </w:r>
      <w:r w:rsidR="008B698D" w:rsidRPr="00A05AD7">
        <w:t xml:space="preserve"> or flows into the blue roof</w:t>
      </w:r>
      <w:r w:rsidRPr="00A05AD7">
        <w:t xml:space="preserve">. Multifunctional designs are significant as it improves urban resilience, inspired by farmers using </w:t>
      </w:r>
      <w:r w:rsidR="00551BCB" w:rsidRPr="00A05AD7">
        <w:t>panels</w:t>
      </w:r>
      <w:r w:rsidRPr="00A05AD7">
        <w:t xml:space="preserve"> to shade vegetation as crops or for grazing. </w:t>
      </w:r>
      <w:r w:rsidR="00285688" w:rsidRPr="00A05AD7">
        <w:t>This design combine</w:t>
      </w:r>
      <w:r w:rsidR="002E77EF" w:rsidRPr="00A05AD7">
        <w:t>s</w:t>
      </w:r>
      <w:r w:rsidR="00285688" w:rsidRPr="00A05AD7">
        <w:t xml:space="preserve"> functionality and art inspired by natural forms. </w:t>
      </w:r>
      <w:r w:rsidR="00F232F1" w:rsidRPr="00A05AD7">
        <w:t>This</w:t>
      </w:r>
      <w:r w:rsidRPr="00A05AD7">
        <w:t xml:space="preserve"> contribute</w:t>
      </w:r>
      <w:r w:rsidR="00F232F1" w:rsidRPr="00A05AD7">
        <w:t>s</w:t>
      </w:r>
      <w:r w:rsidRPr="00A05AD7">
        <w:t xml:space="preserve"> to </w:t>
      </w:r>
      <w:r w:rsidR="000D6A03" w:rsidRPr="00A05AD7">
        <w:t xml:space="preserve">goal 7 of </w:t>
      </w:r>
      <w:r w:rsidRPr="00A05AD7">
        <w:t>the U</w:t>
      </w:r>
      <w:r w:rsidR="000D6A03" w:rsidRPr="00A05AD7">
        <w:t>N</w:t>
      </w:r>
      <w:r w:rsidRPr="00A05AD7">
        <w:t xml:space="preserve">, </w:t>
      </w:r>
      <w:r w:rsidR="00262F90" w:rsidRPr="00A05AD7">
        <w:t>“E</w:t>
      </w:r>
      <w:r w:rsidRPr="00A05AD7">
        <w:t>nsuring access to affordable and clean energy</w:t>
      </w:r>
      <w:r w:rsidR="00262F90" w:rsidRPr="00A05AD7">
        <w:t>”</w:t>
      </w:r>
      <w:r w:rsidR="002618FB" w:rsidRPr="00A05AD7">
        <w:t>;</w:t>
      </w:r>
      <w:r w:rsidRPr="00A05AD7">
        <w:t xml:space="preserve"> and goal 11, </w:t>
      </w:r>
      <w:r w:rsidR="00262F90" w:rsidRPr="00A05AD7">
        <w:t>“M</w:t>
      </w:r>
      <w:r w:rsidRPr="00A05AD7">
        <w:t>aking sustainable cities and communities</w:t>
      </w:r>
      <w:r w:rsidR="00262F90" w:rsidRPr="00A05AD7">
        <w:t>”</w:t>
      </w:r>
      <w:r w:rsidRPr="00A05AD7">
        <w:t xml:space="preserve">. </w:t>
      </w:r>
      <w:r w:rsidR="004F5AAA" w:rsidRPr="00A05AD7">
        <w:t xml:space="preserve">The size of this design is small compared to conventional renewable infrastructure, </w:t>
      </w:r>
      <w:r w:rsidR="0036757B" w:rsidRPr="00A05AD7">
        <w:t>meaning</w:t>
      </w:r>
      <w:r w:rsidR="004F5AAA" w:rsidRPr="00A05AD7">
        <w:t xml:space="preserve"> this design </w:t>
      </w:r>
      <w:r w:rsidR="003004AD" w:rsidRPr="00A05AD7">
        <w:t xml:space="preserve">is </w:t>
      </w:r>
      <w:r w:rsidR="004F5AAA" w:rsidRPr="00A05AD7">
        <w:t>adaptable in scale and function</w:t>
      </w:r>
      <w:r w:rsidR="00F25C5C" w:rsidRPr="00A05AD7">
        <w:t>,</w:t>
      </w:r>
      <w:r w:rsidR="004F5AAA" w:rsidRPr="00A05AD7">
        <w:t xml:space="preserve"> such as </w:t>
      </w:r>
      <w:r w:rsidR="003004AD" w:rsidRPr="00A05AD7">
        <w:t>providing a</w:t>
      </w:r>
      <w:r w:rsidR="004F5AAA" w:rsidRPr="00A05AD7">
        <w:t xml:space="preserve"> roof for the theatre space within the park.</w:t>
      </w:r>
      <w:r w:rsidR="00262F90" w:rsidRPr="00A05AD7">
        <w:t xml:space="preserve"> Music and performance are a major part of the city’s culture.</w:t>
      </w:r>
      <w:r w:rsidR="006F21FA" w:rsidRPr="00A05AD7">
        <w:t xml:space="preserve"> It provides a different </w:t>
      </w:r>
      <w:r w:rsidR="00E70F85" w:rsidRPr="00A05AD7">
        <w:t>experience</w:t>
      </w:r>
      <w:r w:rsidR="006F21FA" w:rsidRPr="00A05AD7">
        <w:t xml:space="preserve"> and perspective for the public from conventional renewable energy.</w:t>
      </w:r>
      <w:r w:rsidR="004F5AAA" w:rsidRPr="00A05AD7">
        <w:t xml:space="preserve"> </w:t>
      </w:r>
      <w:r w:rsidRPr="00A05AD7">
        <w:t xml:space="preserve">Energy is stored underground and used to power electric appliances in the park and the surrounding residential areas. </w:t>
      </w:r>
    </w:p>
    <w:p w14:paraId="562B1EFF" w14:textId="0BE15396" w:rsidR="004A5898" w:rsidRPr="00A05AD7" w:rsidRDefault="00C77B17" w:rsidP="00137B5E">
      <w:r w:rsidRPr="00A05AD7">
        <w:t>Piezoelectric fibres</w:t>
      </w:r>
      <w:r w:rsidR="0038660E" w:rsidRPr="00A05AD7">
        <w:t xml:space="preserve"> </w:t>
      </w:r>
      <w:r w:rsidR="00382852" w:rsidRPr="00A05AD7">
        <w:t>generate</w:t>
      </w:r>
      <w:r w:rsidRPr="00A05AD7">
        <w:t xml:space="preserve"> electricity through kinetic motion </w:t>
      </w:r>
      <w:r w:rsidR="00382852" w:rsidRPr="00A05AD7">
        <w:t>from</w:t>
      </w:r>
      <w:r w:rsidRPr="00A05AD7">
        <w:t xml:space="preserve"> wind</w:t>
      </w:r>
      <w:r w:rsidR="004C69ED">
        <w:t xml:space="preserve"> or rain</w:t>
      </w:r>
      <w:r w:rsidRPr="00A05AD7">
        <w:t xml:space="preserve"> by converting mechanical energy into electr</w:t>
      </w:r>
      <w:r w:rsidR="00F52AB8" w:rsidRPr="00A05AD7">
        <w:t>icity</w:t>
      </w:r>
      <w:r w:rsidRPr="00A05AD7">
        <w:t xml:space="preserve">, </w:t>
      </w:r>
      <w:r w:rsidR="007C0254" w:rsidRPr="00A05AD7">
        <w:t>with a</w:t>
      </w:r>
      <w:r w:rsidRPr="00A05AD7">
        <w:t xml:space="preserve"> maximum efficiency rate of 15%. This design uses a hybrid of piezoelectric-photovoltaic materials</w:t>
      </w:r>
      <w:r w:rsidR="001F3891" w:rsidRPr="00A05AD7">
        <w:t xml:space="preserve"> woven with</w:t>
      </w:r>
      <w:r w:rsidR="00D82F62" w:rsidRPr="00A05AD7">
        <w:t xml:space="preserve"> electric</w:t>
      </w:r>
      <w:r w:rsidR="008B556F" w:rsidRPr="00A05AD7">
        <w:t>al</w:t>
      </w:r>
      <w:r w:rsidR="00D82F62" w:rsidRPr="00A05AD7">
        <w:t xml:space="preserve"> conducting</w:t>
      </w:r>
      <w:r w:rsidR="008B556F" w:rsidRPr="00A05AD7">
        <w:t xml:space="preserve"> fibres</w:t>
      </w:r>
      <w:r w:rsidRPr="00A05AD7">
        <w:t xml:space="preserve">. Semiconducting polymer </w:t>
      </w:r>
      <w:r w:rsidR="009917CB" w:rsidRPr="00A05AD7">
        <w:t>can be used as an</w:t>
      </w:r>
      <w:r w:rsidRPr="00A05AD7">
        <w:t xml:space="preserve"> organic photovoltaic material. It is 14% efficient</w:t>
      </w:r>
      <w:r w:rsidR="002B3F68" w:rsidRPr="00A05AD7">
        <w:t>,</w:t>
      </w:r>
      <w:r w:rsidRPr="00A05AD7">
        <w:t xml:space="preserve"> less tha</w:t>
      </w:r>
      <w:r w:rsidR="00FC7BF5" w:rsidRPr="00A05AD7">
        <w:t>n</w:t>
      </w:r>
      <w:r w:rsidRPr="00A05AD7">
        <w:t xml:space="preserve"> other solar energy generating materials such as silicon, but it is fully degradable which makes it more sustainable and therefore necessary. </w:t>
      </w:r>
      <w:r w:rsidR="00545C81" w:rsidRPr="00A05AD7">
        <w:t xml:space="preserve">It generates an annual capacity of 125MWh. </w:t>
      </w:r>
      <w:r w:rsidRPr="00A05AD7">
        <w:t xml:space="preserve">The photovoltaic fibre is coated in interconnected nanoparticles, </w:t>
      </w:r>
      <w:r w:rsidR="00743DD1" w:rsidRPr="00A05AD7">
        <w:t xml:space="preserve">dyed, </w:t>
      </w:r>
      <w:r w:rsidR="00EC6973" w:rsidRPr="00A05AD7">
        <w:t>soaked in</w:t>
      </w:r>
      <w:r w:rsidRPr="00A05AD7">
        <w:t xml:space="preserve"> electrolyte</w:t>
      </w:r>
      <w:r w:rsidR="00332808" w:rsidRPr="00A05AD7">
        <w:t>s</w:t>
      </w:r>
      <w:r w:rsidR="00905166" w:rsidRPr="00A05AD7">
        <w:t xml:space="preserve">, and slathered with </w:t>
      </w:r>
      <w:r w:rsidRPr="00A05AD7">
        <w:t xml:space="preserve">transparent electrodes (Vatansever, et al., 2012). </w:t>
      </w:r>
      <w:r w:rsidR="00D84C1E" w:rsidRPr="00A05AD7">
        <w:t>Electricity generation works better when wet</w:t>
      </w:r>
      <w:r w:rsidR="00A20A9B" w:rsidRPr="00A05AD7">
        <w:t xml:space="preserve"> because</w:t>
      </w:r>
      <w:r w:rsidR="00D84C1E" w:rsidRPr="00A05AD7">
        <w:t xml:space="preserve"> it improves electrical contact between each fibre. Making it more suited for the environmental conditions to generate electricity. </w:t>
      </w:r>
      <w:r w:rsidR="00901825" w:rsidRPr="00A05AD7">
        <w:t xml:space="preserve">Through </w:t>
      </w:r>
      <w:r w:rsidR="00B72300" w:rsidRPr="00A05AD7">
        <w:t>weather conditions</w:t>
      </w:r>
      <w:r w:rsidR="00B5711E" w:rsidRPr="00A05AD7">
        <w:t xml:space="preserve">, </w:t>
      </w:r>
      <w:r w:rsidR="00901825" w:rsidRPr="00A05AD7">
        <w:t xml:space="preserve">this design strives for interactivity with the renewable infrastructure </w:t>
      </w:r>
      <w:r w:rsidR="00A20832" w:rsidRPr="00A05AD7">
        <w:t>to</w:t>
      </w:r>
      <w:r w:rsidR="00901825" w:rsidRPr="00A05AD7">
        <w:t xml:space="preserve"> increase public engagement with the park and sculpture through the use of motion</w:t>
      </w:r>
      <w:r w:rsidR="00D742A1" w:rsidRPr="00A05AD7">
        <w:t>.</w:t>
      </w:r>
      <w:r w:rsidR="00901825" w:rsidRPr="00A05AD7">
        <w:t xml:space="preserve"> </w:t>
      </w:r>
      <w:r w:rsidRPr="00A05AD7">
        <w:t xml:space="preserve">The diversity </w:t>
      </w:r>
      <w:r w:rsidR="00A04C6C" w:rsidRPr="00A05AD7">
        <w:t>in electricity</w:t>
      </w:r>
      <w:r w:rsidRPr="00A05AD7">
        <w:t xml:space="preserve"> </w:t>
      </w:r>
      <w:r w:rsidR="00274C44" w:rsidRPr="00A05AD7">
        <w:t xml:space="preserve">generation </w:t>
      </w:r>
      <w:r w:rsidRPr="00A05AD7">
        <w:t>is advantageous when the main source of energy is dependent on the weather</w:t>
      </w:r>
      <w:r w:rsidR="000F5646" w:rsidRPr="00A05AD7">
        <w:t>, increasingly</w:t>
      </w:r>
      <w:r w:rsidRPr="00A05AD7">
        <w:t xml:space="preserve"> unpredictable and inconsistence. The ability to generate electricity through most weather</w:t>
      </w:r>
      <w:r w:rsidR="00A04C6C" w:rsidRPr="00A05AD7">
        <w:t xml:space="preserve"> conditions,</w:t>
      </w:r>
      <w:r w:rsidRPr="00A05AD7">
        <w:t xml:space="preserve"> which is typically intensified in the urban realm</w:t>
      </w:r>
      <w:r w:rsidR="00A04C6C" w:rsidRPr="00A05AD7">
        <w:t xml:space="preserve">, </w:t>
      </w:r>
      <w:r w:rsidRPr="00A05AD7">
        <w:t>makes this technology a necessary part of future renewable design</w:t>
      </w:r>
      <w:r w:rsidR="00E16A62" w:rsidRPr="00A05AD7">
        <w:t>s</w:t>
      </w:r>
      <w:r w:rsidRPr="00A05AD7">
        <w:t xml:space="preserve"> and makes it a more reliable source of energy production. Making renewable infrastructure multifunction</w:t>
      </w:r>
      <w:r w:rsidR="00E16A62" w:rsidRPr="00A05AD7">
        <w:t>al</w:t>
      </w:r>
      <w:r w:rsidRPr="00A05AD7">
        <w:t xml:space="preserve"> </w:t>
      </w:r>
      <w:r w:rsidR="001B00DB" w:rsidRPr="00A05AD7">
        <w:t>further</w:t>
      </w:r>
      <w:r w:rsidRPr="00A05AD7">
        <w:t xml:space="preserve"> adds </w:t>
      </w:r>
      <w:r w:rsidR="00247E97" w:rsidRPr="00A05AD7">
        <w:t>value</w:t>
      </w:r>
      <w:r w:rsidRPr="00A05AD7">
        <w:t xml:space="preserve"> benefiting goal 12</w:t>
      </w:r>
      <w:r w:rsidR="00193AD6" w:rsidRPr="00A05AD7">
        <w:t xml:space="preserve"> of the UN</w:t>
      </w:r>
      <w:r w:rsidRPr="00A05AD7">
        <w:t xml:space="preserve">, </w:t>
      </w:r>
      <w:r w:rsidR="00EB37AF" w:rsidRPr="00A05AD7">
        <w:t>“R</w:t>
      </w:r>
      <w:r w:rsidRPr="00A05AD7">
        <w:t>esponsible production and conception of energy</w:t>
      </w:r>
      <w:r w:rsidR="00EB37AF" w:rsidRPr="00A05AD7">
        <w:t>”</w:t>
      </w:r>
      <w:r w:rsidRPr="00A05AD7">
        <w:t>. The fabric is attached to linear poles which transfers generated electricity underground</w:t>
      </w:r>
      <w:r w:rsidR="00082451" w:rsidRPr="00A05AD7">
        <w:t xml:space="preserve"> to be stored</w:t>
      </w:r>
      <w:r w:rsidRPr="00A05AD7">
        <w:t xml:space="preserve">. It also allows for movement, attached to a pivot at the base creating a </w:t>
      </w:r>
      <w:r w:rsidRPr="00A05AD7">
        <w:lastRenderedPageBreak/>
        <w:t>sway motion. Within this design, it connects the proposed green corridors</w:t>
      </w:r>
      <w:r w:rsidR="002D796D" w:rsidRPr="00A05AD7">
        <w:t xml:space="preserve"> of the park</w:t>
      </w:r>
      <w:r w:rsidRPr="00A05AD7">
        <w:t xml:space="preserve"> with the renewable energy sculpture. </w:t>
      </w:r>
      <w:r w:rsidR="00D84C1E" w:rsidRPr="00A05AD7">
        <w:t>There is minimal impact on the wide area of the instalment due to its smaller scale. This makes it suitable and easily applicable</w:t>
      </w:r>
      <w:r w:rsidR="00AD37D2" w:rsidRPr="00A05AD7">
        <w:t>,</w:t>
      </w:r>
      <w:r w:rsidR="00D84C1E" w:rsidRPr="00A05AD7">
        <w:t xml:space="preserve"> allow</w:t>
      </w:r>
      <w:r w:rsidR="00AD37D2" w:rsidRPr="00A05AD7">
        <w:t>ing</w:t>
      </w:r>
      <w:r w:rsidR="00D84C1E" w:rsidRPr="00A05AD7">
        <w:t xml:space="preserve"> for</w:t>
      </w:r>
      <w:r w:rsidRPr="00A05AD7">
        <w:t xml:space="preserve"> diversity in how this can be implemented into any landscape. This could be a form of micro</w:t>
      </w:r>
      <w:r w:rsidR="00ED22F5" w:rsidRPr="00A05AD7">
        <w:t>generation</w:t>
      </w:r>
      <w:r w:rsidRPr="00A05AD7">
        <w:t xml:space="preserve"> production, where investments can mitigate energy demand.</w:t>
      </w:r>
      <w:r w:rsidR="00D84C1E" w:rsidRPr="00A05AD7">
        <w:t xml:space="preserve"> </w:t>
      </w:r>
    </w:p>
    <w:p w14:paraId="349CFB1D" w14:textId="6A4D9B28" w:rsidR="003736C0" w:rsidRPr="00A05AD7" w:rsidRDefault="00137B5E">
      <w:r w:rsidRPr="00A05AD7">
        <w:t>This design integrated SuDs with the renewable energy infrastructure to add value and function. The green roof shelter is organic in shape and designed to dam rainwater</w:t>
      </w:r>
      <w:r w:rsidR="0070164A" w:rsidRPr="00A05AD7">
        <w:t>,</w:t>
      </w:r>
      <w:r w:rsidRPr="00A05AD7">
        <w:t xml:space="preserve"> inspired by the green roof on the Victoria and Albert museum, London. The implementation of SuDs is recognised to be necessary by most governmental bodies </w:t>
      </w:r>
      <w:r w:rsidR="001E5FDC" w:rsidRPr="00A05AD7">
        <w:t xml:space="preserve">for its ability to </w:t>
      </w:r>
      <w:r w:rsidR="0087202D" w:rsidRPr="00A05AD7">
        <w:t>drain water sustainably</w:t>
      </w:r>
      <w:r w:rsidRPr="00A05AD7">
        <w:t xml:space="preserve"> and provide</w:t>
      </w:r>
      <w:r w:rsidR="003D6556" w:rsidRPr="00A05AD7">
        <w:t xml:space="preserve"> growth </w:t>
      </w:r>
      <w:r w:rsidR="003E4487" w:rsidRPr="00A05AD7">
        <w:t>of</w:t>
      </w:r>
      <w:r w:rsidRPr="00A05AD7">
        <w:t xml:space="preserve"> vegetation.  It supports biodiversity, UN goal 15, but it also demonstrates how renewable infrastructure can coexist </w:t>
      </w:r>
      <w:r w:rsidR="00C238A0" w:rsidRPr="00A05AD7">
        <w:t>and increase</w:t>
      </w:r>
      <w:r w:rsidRPr="00A05AD7">
        <w:t xml:space="preserve"> biodiversity in the urban realm</w:t>
      </w:r>
      <w:r w:rsidR="00AF481F" w:rsidRPr="00A05AD7">
        <w:t xml:space="preserve"> which is an issue in most conventional designs</w:t>
      </w:r>
      <w:r w:rsidRPr="00A05AD7">
        <w:t xml:space="preserve">. Especially when renewable energy requires a </w:t>
      </w:r>
      <w:r w:rsidR="00263832" w:rsidRPr="00A05AD7">
        <w:t>vast</w:t>
      </w:r>
      <w:r w:rsidRPr="00A05AD7">
        <w:t xml:space="preserve"> land </w:t>
      </w:r>
      <w:r w:rsidR="00BF1542" w:rsidRPr="00A05AD7">
        <w:t xml:space="preserve">area </w:t>
      </w:r>
      <w:r w:rsidRPr="00A05AD7">
        <w:t xml:space="preserve">and </w:t>
      </w:r>
      <w:r w:rsidR="002A7BE1" w:rsidRPr="00A05AD7">
        <w:t>often</w:t>
      </w:r>
      <w:r w:rsidRPr="00A05AD7">
        <w:t xml:space="preserve"> risks </w:t>
      </w:r>
      <w:r w:rsidR="002A7BE1" w:rsidRPr="00A05AD7">
        <w:t>harm to</w:t>
      </w:r>
      <w:r w:rsidRPr="00A05AD7">
        <w:t xml:space="preserve"> flora and fauna. There is a water collection system which collects and stores rainwater runoff from the solar panels underground allowing it to be reused. Due to urban impact on the water cycle, there is </w:t>
      </w:r>
      <w:r w:rsidR="00B20D5D" w:rsidRPr="00A05AD7">
        <w:t>generally</w:t>
      </w:r>
      <w:r w:rsidRPr="00A05AD7">
        <w:t xml:space="preserve"> increased cloud cover and precipitation over urban areas with lower humidity due to the rapid </w:t>
      </w:r>
      <w:r w:rsidR="00967305" w:rsidRPr="00A05AD7">
        <w:t xml:space="preserve">surface </w:t>
      </w:r>
      <w:r w:rsidRPr="00A05AD7">
        <w:t>runoff. There is further implementation of SuDs with the addition of swales within the site to collect rainwater when overflowed from the shelter as well as run-off from surrounding impermeable surfaces</w:t>
      </w:r>
      <w:r w:rsidR="00293469">
        <w:t xml:space="preserve"> to create a water feature from rain</w:t>
      </w:r>
      <w:r w:rsidRPr="00A05AD7">
        <w:t>.</w:t>
      </w:r>
      <w:r w:rsidR="00E360BE" w:rsidRPr="00A05AD7">
        <w:t xml:space="preserve"> It further aids in ecosystem services</w:t>
      </w:r>
      <w:r w:rsidR="007766C5" w:rsidRPr="00A05AD7">
        <w:t>, supporting the European Landscape Convention, 3.9</w:t>
      </w:r>
      <w:r w:rsidR="00912640" w:rsidRPr="00A05AD7">
        <w:t xml:space="preserve">, </w:t>
      </w:r>
      <w:r w:rsidR="007F5B91" w:rsidRPr="00A05AD7">
        <w:t>enhancing proposed green infrastructure such as the green corridor.</w:t>
      </w:r>
      <w:r w:rsidRPr="00A05AD7">
        <w:t xml:space="preserve"> These also contribute to the extension of habitat for wetland fauna in the designated wetland being restored. The water can be put to other uses such as water for the children’s play area.</w:t>
      </w:r>
      <w:r w:rsidR="00166B9D" w:rsidRPr="00A05AD7">
        <w:t xml:space="preserve"> Mannheim is in the centre of mainland Europe. Therefore, the children’s play area has a large sand pit with water fountains using </w:t>
      </w:r>
      <w:r w:rsidR="003552AC" w:rsidRPr="00A05AD7">
        <w:t>filtered</w:t>
      </w:r>
      <w:r w:rsidR="00166B9D" w:rsidRPr="00A05AD7">
        <w:t xml:space="preserve"> rainwater to bring the beach experience into the inland city.</w:t>
      </w:r>
    </w:p>
    <w:p w14:paraId="3BDFA552" w14:textId="2956D86C" w:rsidR="006F21FA" w:rsidRPr="00A05AD7" w:rsidRDefault="003C6B87" w:rsidP="000656DD">
      <w:r w:rsidRPr="00A05AD7">
        <w:t>This design priorities functionality within the public realm, minimising damage</w:t>
      </w:r>
      <w:r w:rsidR="00B370FB" w:rsidRPr="00A05AD7">
        <w:t xml:space="preserve"> and enhancing</w:t>
      </w:r>
      <w:r w:rsidRPr="00A05AD7">
        <w:t xml:space="preserve"> the ecosystem. </w:t>
      </w:r>
      <w:r w:rsidR="00B370FB" w:rsidRPr="00A05AD7">
        <w:t>M</w:t>
      </w:r>
      <w:r w:rsidRPr="00A05AD7">
        <w:t>ultifunctional space</w:t>
      </w:r>
      <w:r w:rsidR="00B370FB" w:rsidRPr="00A05AD7">
        <w:t>s</w:t>
      </w:r>
      <w:r w:rsidRPr="00A05AD7">
        <w:t xml:space="preserve"> </w:t>
      </w:r>
      <w:r w:rsidR="001B728E" w:rsidRPr="00A05AD7">
        <w:t>are</w:t>
      </w:r>
      <w:r w:rsidR="006F5407" w:rsidRPr="00A05AD7">
        <w:t xml:space="preserve"> desirable</w:t>
      </w:r>
      <w:r w:rsidRPr="00A05AD7">
        <w:t xml:space="preserve"> due to limited land availab</w:t>
      </w:r>
      <w:r w:rsidR="006F5407" w:rsidRPr="00A05AD7">
        <w:t>ility</w:t>
      </w:r>
      <w:r w:rsidR="006D5A32" w:rsidRPr="00A05AD7">
        <w:t xml:space="preserve">, </w:t>
      </w:r>
      <w:r w:rsidR="0065758E" w:rsidRPr="00A05AD7">
        <w:t xml:space="preserve">this </w:t>
      </w:r>
      <w:r w:rsidR="00432D72" w:rsidRPr="00A05AD7">
        <w:t>applie</w:t>
      </w:r>
      <w:r w:rsidR="0065758E" w:rsidRPr="00A05AD7">
        <w:t>s</w:t>
      </w:r>
      <w:r w:rsidR="00432D72" w:rsidRPr="00A05AD7">
        <w:t xml:space="preserve"> particularly to</w:t>
      </w:r>
      <w:r w:rsidRPr="00A05AD7">
        <w:t xml:space="preserve"> renewable infrastructure</w:t>
      </w:r>
      <w:r w:rsidR="00432D72" w:rsidRPr="00A05AD7">
        <w:t>,</w:t>
      </w:r>
      <w:r w:rsidRPr="00A05AD7">
        <w:t xml:space="preserve"> </w:t>
      </w:r>
      <w:r w:rsidR="002D7C34" w:rsidRPr="00A05AD7">
        <w:t>which</w:t>
      </w:r>
      <w:r w:rsidRPr="00A05AD7">
        <w:t xml:space="preserve"> </w:t>
      </w:r>
      <w:r w:rsidR="006D5A32" w:rsidRPr="00A05AD7">
        <w:t xml:space="preserve">requires a lot of space and </w:t>
      </w:r>
      <w:r w:rsidR="002E426F" w:rsidRPr="00A05AD7">
        <w:t>sources</w:t>
      </w:r>
      <w:r w:rsidRPr="00A05AD7">
        <w:t xml:space="preserve"> around 25% of global e</w:t>
      </w:r>
      <w:r w:rsidR="002E426F" w:rsidRPr="00A05AD7">
        <w:t>nergy supply</w:t>
      </w:r>
      <w:r w:rsidRPr="00A05AD7">
        <w:t xml:space="preserve">. It </w:t>
      </w:r>
      <w:r w:rsidR="008C72BB" w:rsidRPr="00A05AD7">
        <w:t>i</w:t>
      </w:r>
      <w:r w:rsidRPr="00A05AD7">
        <w:t xml:space="preserve">s important for this design to generate renewable energy while allowing for the presence of increased urban greenery, shown </w:t>
      </w:r>
      <w:r w:rsidR="00E32F9B" w:rsidRPr="00A05AD7">
        <w:t>by</w:t>
      </w:r>
      <w:r w:rsidRPr="00A05AD7">
        <w:t xml:space="preserve"> provid</w:t>
      </w:r>
      <w:r w:rsidR="00883666" w:rsidRPr="00A05AD7">
        <w:t>ing</w:t>
      </w:r>
      <w:r w:rsidRPr="00A05AD7">
        <w:t xml:space="preserve"> habitat space for flora and fauna. It is also beneficial to people as it provides a</w:t>
      </w:r>
      <w:r w:rsidR="00883666" w:rsidRPr="00A05AD7">
        <w:t>n</w:t>
      </w:r>
      <w:r w:rsidRPr="00A05AD7">
        <w:t xml:space="preserve"> outdoor shelter for community use. When there is more diversity in use, there is </w:t>
      </w:r>
      <w:r w:rsidR="00995D12" w:rsidRPr="00A05AD7">
        <w:t xml:space="preserve">greater </w:t>
      </w:r>
      <w:r w:rsidRPr="00A05AD7">
        <w:t xml:space="preserve">economic incentive </w:t>
      </w:r>
      <w:r w:rsidR="001B1EA5" w:rsidRPr="00A05AD7">
        <w:t>and therefore it increases</w:t>
      </w:r>
      <w:r w:rsidRPr="00A05AD7">
        <w:t xml:space="preserve"> value and benefit for the people</w:t>
      </w:r>
      <w:r w:rsidR="0091197B" w:rsidRPr="00A05AD7">
        <w:t xml:space="preserve">. </w:t>
      </w:r>
      <w:r w:rsidRPr="00A05AD7">
        <w:t xml:space="preserve"> Multifunctional landscapes are promoted in the European </w:t>
      </w:r>
      <w:r w:rsidR="00037B34" w:rsidRPr="00A05AD7">
        <w:t>L</w:t>
      </w:r>
      <w:r w:rsidRPr="00A05AD7">
        <w:t xml:space="preserve">andscape </w:t>
      </w:r>
      <w:r w:rsidR="00037B34" w:rsidRPr="00A05AD7">
        <w:t>C</w:t>
      </w:r>
      <w:r w:rsidRPr="00A05AD7">
        <w:t>onvention</w:t>
      </w:r>
      <w:r w:rsidR="003F3D92" w:rsidRPr="00A05AD7">
        <w:t xml:space="preserve"> Part 2, 2.28</w:t>
      </w:r>
      <w:r w:rsidRPr="00A05AD7">
        <w:t>.</w:t>
      </w:r>
      <w:r w:rsidR="005F0589" w:rsidRPr="00A05AD7">
        <w:t xml:space="preserve"> Its organic nature ensures </w:t>
      </w:r>
      <w:r w:rsidR="000656DD" w:rsidRPr="00A05AD7">
        <w:t xml:space="preserve">transition to other areas of the park. As one of Europe’s largest inland ports, the city has old train tracks. </w:t>
      </w:r>
      <w:r w:rsidR="001A7B48" w:rsidRPr="00A05AD7">
        <w:t>I</w:t>
      </w:r>
      <w:r w:rsidR="000656DD" w:rsidRPr="00A05AD7">
        <w:t xml:space="preserve">t is turned into a public art walk </w:t>
      </w:r>
      <w:r w:rsidR="001A7B48" w:rsidRPr="00A05AD7">
        <w:t>in this design to relate</w:t>
      </w:r>
      <w:r w:rsidR="000656DD" w:rsidRPr="00A05AD7">
        <w:t xml:space="preserve"> </w:t>
      </w:r>
      <w:r w:rsidR="00244F15" w:rsidRPr="00A05AD7">
        <w:t xml:space="preserve">to </w:t>
      </w:r>
      <w:r w:rsidR="000656DD" w:rsidRPr="00A05AD7">
        <w:t>Mannheim</w:t>
      </w:r>
      <w:r w:rsidR="001A7B48" w:rsidRPr="00A05AD7">
        <w:t>’s cultural and historic background while</w:t>
      </w:r>
      <w:r w:rsidR="00FD49AC" w:rsidRPr="00A05AD7">
        <w:t xml:space="preserve"> adding function</w:t>
      </w:r>
      <w:r w:rsidR="00B55D8E" w:rsidRPr="00A05AD7">
        <w:t>ality</w:t>
      </w:r>
      <w:r w:rsidR="000656DD" w:rsidRPr="00A05AD7">
        <w:t xml:space="preserve">. Public art </w:t>
      </w:r>
      <w:r w:rsidR="00FD49AC" w:rsidRPr="00A05AD7">
        <w:t>also</w:t>
      </w:r>
      <w:r w:rsidR="000656DD" w:rsidRPr="00A05AD7">
        <w:t xml:space="preserve"> allows for individual expression</w:t>
      </w:r>
      <w:r w:rsidR="00FD49AC" w:rsidRPr="00A05AD7">
        <w:t>,</w:t>
      </w:r>
      <w:r w:rsidR="000656DD" w:rsidRPr="00A05AD7">
        <w:t xml:space="preserve"> beneficial for the local community. </w:t>
      </w:r>
    </w:p>
    <w:p w14:paraId="6DE1F3E9" w14:textId="178CD04B" w:rsidR="004913A5" w:rsidRPr="00A05AD7" w:rsidRDefault="004913A5" w:rsidP="004913A5">
      <w:r w:rsidRPr="00A05AD7">
        <w:t>This renewable energy design is scalable and adaptable</w:t>
      </w:r>
      <w:r w:rsidR="001765B2" w:rsidRPr="00A05AD7">
        <w:t xml:space="preserve">. </w:t>
      </w:r>
      <w:r w:rsidR="004B5A40" w:rsidRPr="00A05AD7">
        <w:t>T</w:t>
      </w:r>
      <w:r w:rsidRPr="00A05AD7">
        <w:t>hrough the use of microgeneration</w:t>
      </w:r>
      <w:r w:rsidR="004B5A40" w:rsidRPr="00A05AD7">
        <w:t>,</w:t>
      </w:r>
      <w:r w:rsidRPr="00A05AD7">
        <w:t xml:space="preserve"> </w:t>
      </w:r>
      <w:r w:rsidR="004B5A40" w:rsidRPr="00A05AD7">
        <w:t>it</w:t>
      </w:r>
      <w:r w:rsidRPr="00A05AD7">
        <w:t xml:space="preserve"> </w:t>
      </w:r>
      <w:r w:rsidR="00A21689" w:rsidRPr="00A05AD7">
        <w:t>slots</w:t>
      </w:r>
      <w:r w:rsidRPr="00A05AD7">
        <w:t xml:space="preserve"> well into a private garden as a sculpture piece. This provides flexibility and maintains function</w:t>
      </w:r>
      <w:r w:rsidR="008B60C1" w:rsidRPr="00A05AD7">
        <w:t>.</w:t>
      </w:r>
      <w:r w:rsidRPr="00A05AD7">
        <w:t xml:space="preserve"> </w:t>
      </w:r>
      <w:r w:rsidR="00C37461" w:rsidRPr="00A05AD7">
        <w:t>Multi</w:t>
      </w:r>
      <w:r w:rsidR="00592D21" w:rsidRPr="00A05AD7">
        <w:t>-</w:t>
      </w:r>
      <w:r w:rsidR="00C37461" w:rsidRPr="00A05AD7">
        <w:t>b</w:t>
      </w:r>
      <w:r w:rsidRPr="00A05AD7">
        <w:t xml:space="preserve">enefits are required in all urban developments such as energy production and rainwater collection. </w:t>
      </w:r>
      <w:r w:rsidR="00CD5045" w:rsidRPr="00A05AD7">
        <w:t>Microgeneration helps evolve the urban system</w:t>
      </w:r>
      <w:r w:rsidR="00C92B97" w:rsidRPr="00A05AD7">
        <w:t xml:space="preserve"> or residential areas</w:t>
      </w:r>
      <w:r w:rsidR="00CD5045" w:rsidRPr="00A05AD7">
        <w:t xml:space="preserve"> to achieve net zero landscape</w:t>
      </w:r>
      <w:r w:rsidR="00592D21" w:rsidRPr="00A05AD7">
        <w:t>s</w:t>
      </w:r>
      <w:r w:rsidR="00CD5045" w:rsidRPr="00A05AD7">
        <w:t xml:space="preserve"> or reduce relian</w:t>
      </w:r>
      <w:r w:rsidR="00336C12" w:rsidRPr="00A05AD7">
        <w:t>ce</w:t>
      </w:r>
      <w:r w:rsidR="00CD5045" w:rsidRPr="00A05AD7">
        <w:t xml:space="preserve"> </w:t>
      </w:r>
      <w:r w:rsidR="00336C12" w:rsidRPr="00A05AD7">
        <w:t>on</w:t>
      </w:r>
      <w:r w:rsidR="00CD5045" w:rsidRPr="00A05AD7">
        <w:t xml:space="preserve"> natural energy sources.</w:t>
      </w:r>
      <w:r w:rsidR="00BA2050" w:rsidRPr="00A05AD7">
        <w:t xml:space="preserve"> </w:t>
      </w:r>
      <w:r w:rsidR="00631E2D" w:rsidRPr="00A05AD7">
        <w:t>The</w:t>
      </w:r>
      <w:r w:rsidRPr="00A05AD7">
        <w:t xml:space="preserve"> idea of microgeneration of renewable energy production can be installed or implemented throughout the urban realm, achieving UN goal 12. Small scale generation of energy within households or communities where there is increased efficiency and no distribution </w:t>
      </w:r>
      <w:r w:rsidR="0041713B" w:rsidRPr="00A05AD7">
        <w:t xml:space="preserve">of </w:t>
      </w:r>
      <w:r w:rsidRPr="00A05AD7">
        <w:t xml:space="preserve">costs (Gallizzi, 2021) would </w:t>
      </w:r>
      <w:r w:rsidR="00181D80" w:rsidRPr="00A05AD7">
        <w:t xml:space="preserve">be </w:t>
      </w:r>
      <w:r w:rsidRPr="00A05AD7">
        <w:t xml:space="preserve">greatly </w:t>
      </w:r>
      <w:r w:rsidR="00181D80" w:rsidRPr="00A05AD7">
        <w:t>beneficial</w:t>
      </w:r>
      <w:r w:rsidR="0041713B" w:rsidRPr="00A05AD7">
        <w:t>,</w:t>
      </w:r>
      <w:r w:rsidR="00631E2D" w:rsidRPr="00A05AD7">
        <w:t xml:space="preserve"> environmentally and economically.</w:t>
      </w:r>
    </w:p>
    <w:p w14:paraId="6FA8484D" w14:textId="25EAA657" w:rsidR="004A4DEA" w:rsidRPr="002D0383" w:rsidRDefault="004A4DEA">
      <w:pPr>
        <w:rPr>
          <w:rFonts w:asciiTheme="minorHAnsi" w:hAnsiTheme="minorHAnsi" w:cstheme="minorHAnsi"/>
        </w:rPr>
      </w:pPr>
      <w:bookmarkStart w:id="0" w:name="_Hlt112536905"/>
      <w:bookmarkStart w:id="1" w:name="_Hlt112536906"/>
      <w:bookmarkStart w:id="2" w:name="_Hlt112511300"/>
      <w:bookmarkStart w:id="3" w:name="_Hlt112511301"/>
      <w:bookmarkEnd w:id="0"/>
      <w:bookmarkEnd w:id="1"/>
      <w:bookmarkEnd w:id="2"/>
      <w:bookmarkEnd w:id="3"/>
    </w:p>
    <w:p w14:paraId="51A84512" w14:textId="77777777" w:rsidR="00F73A3F" w:rsidRDefault="00F73A3F">
      <w:pPr>
        <w:pStyle w:val="Heading1"/>
        <w:rPr>
          <w:rFonts w:asciiTheme="minorHAnsi" w:hAnsiTheme="minorHAnsi" w:cstheme="minorHAnsi"/>
          <w:color w:val="auto"/>
          <w:sz w:val="28"/>
          <w:szCs w:val="28"/>
          <w:u w:val="single"/>
        </w:rPr>
      </w:pPr>
    </w:p>
    <w:p w14:paraId="1D84AAE0" w14:textId="3B8AA9FE" w:rsidR="00473BF3" w:rsidRPr="002D0383" w:rsidRDefault="008D121B">
      <w:pPr>
        <w:pStyle w:val="Heading1"/>
        <w:rPr>
          <w:rFonts w:asciiTheme="minorHAnsi" w:hAnsiTheme="minorHAnsi" w:cstheme="minorHAnsi"/>
          <w:color w:val="auto"/>
          <w:sz w:val="28"/>
          <w:szCs w:val="28"/>
          <w:u w:val="single"/>
        </w:rPr>
      </w:pPr>
      <w:r w:rsidRPr="002D0383">
        <w:rPr>
          <w:rFonts w:asciiTheme="minorHAnsi" w:hAnsiTheme="minorHAnsi" w:cstheme="minorHAnsi"/>
          <w:color w:val="auto"/>
          <w:sz w:val="28"/>
          <w:szCs w:val="28"/>
          <w:u w:val="single"/>
        </w:rPr>
        <w:t>Bibliography</w:t>
      </w:r>
    </w:p>
    <w:p w14:paraId="68DCD590" w14:textId="77777777" w:rsidR="002D0383" w:rsidRPr="002D0383" w:rsidRDefault="002D0383">
      <w:pPr>
        <w:pStyle w:val="Bibliography"/>
        <w:rPr>
          <w:rFonts w:asciiTheme="minorHAnsi" w:hAnsiTheme="minorHAnsi" w:cstheme="minorHAnsi"/>
          <w:lang w:val="en-US"/>
        </w:rPr>
      </w:pPr>
    </w:p>
    <w:p w14:paraId="1D84AAE1" w14:textId="6AC6D4C1" w:rsidR="00473BF3" w:rsidRPr="002D0383" w:rsidRDefault="008D121B">
      <w:pPr>
        <w:pStyle w:val="Bibliography"/>
        <w:rPr>
          <w:rFonts w:asciiTheme="minorHAnsi" w:hAnsiTheme="minorHAnsi" w:cstheme="minorHAnsi"/>
        </w:rPr>
      </w:pPr>
      <w:r w:rsidRPr="002D0383">
        <w:rPr>
          <w:rFonts w:asciiTheme="minorHAnsi" w:hAnsiTheme="minorHAnsi" w:cstheme="minorHAnsi"/>
          <w:lang w:val="en-US"/>
        </w:rPr>
        <w:t xml:space="preserve">Encyclopaedia Britannica, 2018. </w:t>
      </w:r>
      <w:r w:rsidRPr="002D0383">
        <w:rPr>
          <w:rFonts w:asciiTheme="minorHAnsi" w:hAnsiTheme="minorHAnsi" w:cstheme="minorHAnsi"/>
          <w:i/>
          <w:iCs/>
          <w:lang w:val="en-US"/>
        </w:rPr>
        <w:t xml:space="preserve">Mannheim. </w:t>
      </w:r>
      <w:r w:rsidRPr="002D0383">
        <w:rPr>
          <w:rFonts w:asciiTheme="minorHAnsi" w:hAnsiTheme="minorHAnsi" w:cstheme="minorHAnsi"/>
          <w:lang w:val="en-US"/>
        </w:rPr>
        <w:t xml:space="preserve">[Online] </w:t>
      </w:r>
      <w:r w:rsidRPr="002D0383">
        <w:rPr>
          <w:rFonts w:asciiTheme="minorHAnsi" w:hAnsiTheme="minorHAnsi" w:cstheme="minorHAnsi"/>
          <w:lang w:val="en-US"/>
        </w:rPr>
        <w:br/>
        <w:t xml:space="preserve">Available at: </w:t>
      </w:r>
      <w:r w:rsidRPr="002D0383">
        <w:rPr>
          <w:rFonts w:asciiTheme="minorHAnsi" w:hAnsiTheme="minorHAnsi" w:cstheme="minorHAnsi"/>
          <w:u w:val="single"/>
          <w:lang w:val="en-US"/>
        </w:rPr>
        <w:t>https://www.britannica.com/place/Mannheim</w:t>
      </w:r>
      <w:r w:rsidRPr="002D0383">
        <w:rPr>
          <w:rFonts w:asciiTheme="minorHAnsi" w:hAnsiTheme="minorHAnsi" w:cstheme="minorHAnsi"/>
          <w:lang w:val="en-US"/>
        </w:rPr>
        <w:br/>
        <w:t>[Accessed 15 August 2022].</w:t>
      </w:r>
    </w:p>
    <w:p w14:paraId="1D84AAE2" w14:textId="77777777" w:rsidR="00473BF3" w:rsidRPr="002D0383" w:rsidRDefault="008D121B">
      <w:pPr>
        <w:pStyle w:val="Bibliography"/>
        <w:rPr>
          <w:rFonts w:asciiTheme="minorHAnsi" w:hAnsiTheme="minorHAnsi" w:cstheme="minorHAnsi"/>
        </w:rPr>
      </w:pPr>
      <w:r w:rsidRPr="002D0383">
        <w:rPr>
          <w:rFonts w:asciiTheme="minorHAnsi" w:hAnsiTheme="minorHAnsi" w:cstheme="minorHAnsi"/>
          <w:lang w:val="en-US"/>
        </w:rPr>
        <w:t xml:space="preserve">Ferry, R. &amp; Monoian, E., 2019. </w:t>
      </w:r>
      <w:r w:rsidRPr="002D0383">
        <w:rPr>
          <w:rFonts w:asciiTheme="minorHAnsi" w:hAnsiTheme="minorHAnsi" w:cstheme="minorHAnsi"/>
          <w:i/>
          <w:iCs/>
          <w:lang w:val="en-US"/>
        </w:rPr>
        <w:t xml:space="preserve">A Field Guide </w:t>
      </w:r>
      <w:proofErr w:type="gramStart"/>
      <w:r w:rsidRPr="002D0383">
        <w:rPr>
          <w:rFonts w:asciiTheme="minorHAnsi" w:hAnsiTheme="minorHAnsi" w:cstheme="minorHAnsi"/>
          <w:i/>
          <w:iCs/>
          <w:lang w:val="en-US"/>
        </w:rPr>
        <w:t>To</w:t>
      </w:r>
      <w:proofErr w:type="gramEnd"/>
      <w:r w:rsidRPr="002D0383">
        <w:rPr>
          <w:rFonts w:asciiTheme="minorHAnsi" w:hAnsiTheme="minorHAnsi" w:cstheme="minorHAnsi"/>
          <w:i/>
          <w:iCs/>
          <w:lang w:val="en-US"/>
        </w:rPr>
        <w:t xml:space="preserve"> Renewable Energy Technologies. </w:t>
      </w:r>
      <w:r w:rsidRPr="002D0383">
        <w:rPr>
          <w:rFonts w:asciiTheme="minorHAnsi" w:hAnsiTheme="minorHAnsi" w:cstheme="minorHAnsi"/>
          <w:lang w:val="en-US"/>
        </w:rPr>
        <w:t>2nd ed. New York: Society for Cultural Exchange.</w:t>
      </w:r>
    </w:p>
    <w:p w14:paraId="1D84AAE3" w14:textId="13C7BD79" w:rsidR="00473BF3" w:rsidRPr="002D0383" w:rsidRDefault="008D121B">
      <w:pPr>
        <w:pStyle w:val="Bibliography"/>
        <w:rPr>
          <w:rFonts w:asciiTheme="minorHAnsi" w:hAnsiTheme="minorHAnsi" w:cstheme="minorHAnsi"/>
          <w:lang w:val="en-US"/>
        </w:rPr>
      </w:pPr>
      <w:r w:rsidRPr="002D0383">
        <w:rPr>
          <w:rFonts w:asciiTheme="minorHAnsi" w:hAnsiTheme="minorHAnsi" w:cstheme="minorHAnsi"/>
          <w:lang w:val="en-US"/>
        </w:rPr>
        <w:t xml:space="preserve">Gallizzi, B., 2021. </w:t>
      </w:r>
      <w:r w:rsidRPr="002D0383">
        <w:rPr>
          <w:rFonts w:asciiTheme="minorHAnsi" w:hAnsiTheme="minorHAnsi" w:cstheme="minorHAnsi"/>
          <w:i/>
          <w:iCs/>
          <w:lang w:val="en-US"/>
        </w:rPr>
        <w:t xml:space="preserve">Microgeneration of sustainable energy. </w:t>
      </w:r>
      <w:r w:rsidRPr="002D0383">
        <w:rPr>
          <w:rFonts w:asciiTheme="minorHAnsi" w:hAnsiTheme="minorHAnsi" w:cstheme="minorHAnsi"/>
          <w:lang w:val="en-US"/>
        </w:rPr>
        <w:t xml:space="preserve">[Online] </w:t>
      </w:r>
      <w:r w:rsidRPr="002D0383">
        <w:rPr>
          <w:rFonts w:asciiTheme="minorHAnsi" w:hAnsiTheme="minorHAnsi" w:cstheme="minorHAnsi"/>
          <w:lang w:val="en-US"/>
        </w:rPr>
        <w:br/>
        <w:t xml:space="preserve">Available at: </w:t>
      </w:r>
      <w:r w:rsidRPr="002D0383">
        <w:rPr>
          <w:rFonts w:asciiTheme="minorHAnsi" w:hAnsiTheme="minorHAnsi" w:cstheme="minorHAnsi"/>
          <w:u w:val="single"/>
          <w:lang w:val="en-US"/>
        </w:rPr>
        <w:t>https://www.uswitch.com/gas-electricity/green-energy/microgeneration-energy-guide/</w:t>
      </w:r>
      <w:r w:rsidRPr="002D0383">
        <w:rPr>
          <w:rFonts w:asciiTheme="minorHAnsi" w:hAnsiTheme="minorHAnsi" w:cstheme="minorHAnsi"/>
          <w:lang w:val="en-US"/>
        </w:rPr>
        <w:br/>
        <w:t>[Accessed 15 August 2022].</w:t>
      </w:r>
    </w:p>
    <w:p w14:paraId="0E0E2EAD" w14:textId="77777777" w:rsidR="0072730E" w:rsidRPr="002D0383" w:rsidRDefault="0072730E" w:rsidP="0072730E">
      <w:pPr>
        <w:pStyle w:val="Bibliography"/>
        <w:rPr>
          <w:rFonts w:asciiTheme="minorHAnsi" w:hAnsiTheme="minorHAnsi" w:cstheme="minorHAnsi"/>
          <w:noProof/>
          <w:lang w:val="en-US"/>
        </w:rPr>
      </w:pPr>
      <w:r w:rsidRPr="002D0383">
        <w:rPr>
          <w:rFonts w:asciiTheme="minorHAnsi" w:hAnsiTheme="minorHAnsi" w:cstheme="minorHAnsi"/>
          <w:noProof/>
          <w:lang w:val="en-US"/>
        </w:rPr>
        <w:t xml:space="preserve">Mahmud, M. A. P. et al., 2018. Environmental profile evaluations of piezoelectric polymers using life cycle assessment. </w:t>
      </w:r>
      <w:r w:rsidRPr="002D0383">
        <w:rPr>
          <w:rFonts w:asciiTheme="minorHAnsi" w:hAnsiTheme="minorHAnsi" w:cstheme="minorHAnsi"/>
          <w:i/>
          <w:iCs/>
          <w:noProof/>
          <w:lang w:val="en-US"/>
        </w:rPr>
        <w:t xml:space="preserve">IOP Conference Series: Earth and Environmental Science, </w:t>
      </w:r>
      <w:r w:rsidRPr="002D0383">
        <w:rPr>
          <w:rFonts w:asciiTheme="minorHAnsi" w:hAnsiTheme="minorHAnsi" w:cstheme="minorHAnsi"/>
          <w:noProof/>
          <w:lang w:val="en-US"/>
        </w:rPr>
        <w:t>Volume 154.</w:t>
      </w:r>
    </w:p>
    <w:p w14:paraId="51215679" w14:textId="77777777" w:rsidR="0072730E" w:rsidRPr="002D0383" w:rsidRDefault="0072730E" w:rsidP="0072730E">
      <w:pPr>
        <w:pStyle w:val="Bibliography"/>
        <w:rPr>
          <w:rFonts w:asciiTheme="minorHAnsi" w:hAnsiTheme="minorHAnsi" w:cstheme="minorHAnsi"/>
          <w:noProof/>
          <w:lang w:val="en-US"/>
        </w:rPr>
      </w:pPr>
      <w:r w:rsidRPr="002D0383">
        <w:rPr>
          <w:rFonts w:asciiTheme="minorHAnsi" w:hAnsiTheme="minorHAnsi" w:cstheme="minorHAnsi"/>
          <w:noProof/>
          <w:lang w:val="en-US"/>
        </w:rPr>
        <w:t xml:space="preserve">Matmatch, 2022. </w:t>
      </w:r>
      <w:r w:rsidRPr="002D0383">
        <w:rPr>
          <w:rFonts w:asciiTheme="minorHAnsi" w:hAnsiTheme="minorHAnsi" w:cstheme="minorHAnsi"/>
          <w:i/>
          <w:iCs/>
          <w:noProof/>
          <w:lang w:val="en-US"/>
        </w:rPr>
        <w:t xml:space="preserve">Polyvinylidene Fluoride (PVDF): Properties, Production, &amp; Applications. </w:t>
      </w:r>
      <w:r w:rsidRPr="002D0383">
        <w:rPr>
          <w:rFonts w:asciiTheme="minorHAnsi" w:hAnsiTheme="minorHAnsi" w:cstheme="minorHAnsi"/>
          <w:noProof/>
          <w:lang w:val="en-US"/>
        </w:rPr>
        <w:t xml:space="preserve">[Online] </w:t>
      </w:r>
      <w:r w:rsidRPr="002D0383">
        <w:rPr>
          <w:rFonts w:asciiTheme="minorHAnsi" w:hAnsiTheme="minorHAnsi" w:cstheme="minorHAnsi"/>
          <w:noProof/>
          <w:lang w:val="en-US"/>
        </w:rPr>
        <w:br/>
        <w:t xml:space="preserve">Available at: </w:t>
      </w:r>
      <w:r w:rsidRPr="002D0383">
        <w:rPr>
          <w:rFonts w:asciiTheme="minorHAnsi" w:hAnsiTheme="minorHAnsi" w:cstheme="minorHAnsi"/>
          <w:noProof/>
          <w:u w:val="single"/>
          <w:lang w:val="en-US"/>
        </w:rPr>
        <w:t>https://matmatch.com/learn/material/polyvinylidene-fluoride-pvdf</w:t>
      </w:r>
      <w:r w:rsidRPr="002D0383">
        <w:rPr>
          <w:rFonts w:asciiTheme="minorHAnsi" w:hAnsiTheme="minorHAnsi" w:cstheme="minorHAnsi"/>
          <w:noProof/>
          <w:lang w:val="en-US"/>
        </w:rPr>
        <w:br/>
        <w:t>[Accessed 22 August 2022].</w:t>
      </w:r>
    </w:p>
    <w:p w14:paraId="70BC9788" w14:textId="77140776" w:rsidR="0072730E" w:rsidRPr="002D0383" w:rsidRDefault="0072730E" w:rsidP="0072730E">
      <w:pPr>
        <w:pStyle w:val="Bibliography"/>
        <w:rPr>
          <w:rFonts w:asciiTheme="minorHAnsi" w:hAnsiTheme="minorHAnsi" w:cstheme="minorHAnsi"/>
          <w:noProof/>
          <w:lang w:val="en-US"/>
        </w:rPr>
      </w:pPr>
      <w:r w:rsidRPr="002D0383">
        <w:rPr>
          <w:rFonts w:asciiTheme="minorHAnsi" w:hAnsiTheme="minorHAnsi" w:cstheme="minorHAnsi"/>
          <w:noProof/>
          <w:lang w:val="en-US"/>
        </w:rPr>
        <w:t xml:space="preserve">Montalbano, E., 2018. </w:t>
      </w:r>
      <w:r w:rsidRPr="002D0383">
        <w:rPr>
          <w:rFonts w:asciiTheme="minorHAnsi" w:hAnsiTheme="minorHAnsi" w:cstheme="minorHAnsi"/>
          <w:i/>
          <w:iCs/>
          <w:noProof/>
          <w:lang w:val="en-US"/>
        </w:rPr>
        <w:t xml:space="preserve">This Flexible, Piezoelectric Fabric Turns Kinetic Energy Into Electricity. </w:t>
      </w:r>
      <w:r w:rsidRPr="002D0383">
        <w:rPr>
          <w:rFonts w:asciiTheme="minorHAnsi" w:hAnsiTheme="minorHAnsi" w:cstheme="minorHAnsi"/>
          <w:noProof/>
          <w:lang w:val="en-US"/>
        </w:rPr>
        <w:t xml:space="preserve">[Online] </w:t>
      </w:r>
      <w:r w:rsidRPr="002D0383">
        <w:rPr>
          <w:rFonts w:asciiTheme="minorHAnsi" w:hAnsiTheme="minorHAnsi" w:cstheme="minorHAnsi"/>
          <w:noProof/>
          <w:lang w:val="en-US"/>
        </w:rPr>
        <w:br/>
        <w:t xml:space="preserve">Available at: </w:t>
      </w:r>
      <w:r w:rsidRPr="002D0383">
        <w:rPr>
          <w:rFonts w:asciiTheme="minorHAnsi" w:hAnsiTheme="minorHAnsi" w:cstheme="minorHAnsi"/>
          <w:noProof/>
          <w:u w:val="single"/>
          <w:lang w:val="en-US"/>
        </w:rPr>
        <w:t>https://www.designnews.com/materials-assembly/flexible-piezoelectric-fabric-turns-kinetic-energy-electricity</w:t>
      </w:r>
      <w:r w:rsidRPr="002D0383">
        <w:rPr>
          <w:rFonts w:asciiTheme="minorHAnsi" w:hAnsiTheme="minorHAnsi" w:cstheme="minorHAnsi"/>
          <w:noProof/>
          <w:lang w:val="en-US"/>
        </w:rPr>
        <w:br/>
        <w:t>[Accessed 22 August 2022].</w:t>
      </w:r>
    </w:p>
    <w:p w14:paraId="1D84AAE4" w14:textId="77777777" w:rsidR="00473BF3" w:rsidRPr="002D0383" w:rsidRDefault="008D121B">
      <w:pPr>
        <w:pStyle w:val="Bibliography"/>
        <w:rPr>
          <w:rFonts w:asciiTheme="minorHAnsi" w:hAnsiTheme="minorHAnsi" w:cstheme="minorHAnsi"/>
        </w:rPr>
      </w:pPr>
      <w:r w:rsidRPr="002D0383">
        <w:rPr>
          <w:rFonts w:asciiTheme="minorHAnsi" w:hAnsiTheme="minorHAnsi" w:cstheme="minorHAnsi"/>
          <w:lang w:val="en-US"/>
        </w:rPr>
        <w:t xml:space="preserve">Russo, Alessio; </w:t>
      </w:r>
      <w:proofErr w:type="spellStart"/>
      <w:r w:rsidRPr="002D0383">
        <w:rPr>
          <w:rFonts w:asciiTheme="minorHAnsi" w:hAnsiTheme="minorHAnsi" w:cstheme="minorHAnsi"/>
          <w:lang w:val="en-US"/>
        </w:rPr>
        <w:t>Cirella</w:t>
      </w:r>
      <w:proofErr w:type="spellEnd"/>
      <w:r w:rsidRPr="002D0383">
        <w:rPr>
          <w:rFonts w:asciiTheme="minorHAnsi" w:hAnsiTheme="minorHAnsi" w:cstheme="minorHAnsi"/>
          <w:lang w:val="en-US"/>
        </w:rPr>
        <w:t xml:space="preserve">, Giuseppe T, 2017. Biophilic Cities: Planning for Sustainable and Smart Urban Environments. In: R. Aijaz, ed. </w:t>
      </w:r>
      <w:r w:rsidRPr="002D0383">
        <w:rPr>
          <w:rFonts w:asciiTheme="minorHAnsi" w:hAnsiTheme="minorHAnsi" w:cstheme="minorHAnsi"/>
          <w:i/>
          <w:iCs/>
          <w:lang w:val="en-US"/>
        </w:rPr>
        <w:t xml:space="preserve">Smart cities movement in BRICS. </w:t>
      </w:r>
      <w:r w:rsidRPr="002D0383">
        <w:rPr>
          <w:rFonts w:asciiTheme="minorHAnsi" w:hAnsiTheme="minorHAnsi" w:cstheme="minorHAnsi"/>
          <w:lang w:val="en-US"/>
        </w:rPr>
        <w:t>London: Global Policy and Observer Research Foundation, pp. 153-159.</w:t>
      </w:r>
    </w:p>
    <w:p w14:paraId="1D84AAE5" w14:textId="06B3508B" w:rsidR="00473BF3" w:rsidRPr="002D0383" w:rsidRDefault="008D121B">
      <w:pPr>
        <w:pStyle w:val="Bibliography"/>
        <w:rPr>
          <w:rFonts w:asciiTheme="minorHAnsi" w:hAnsiTheme="minorHAnsi" w:cstheme="minorHAnsi"/>
          <w:lang w:val="en-US"/>
        </w:rPr>
      </w:pPr>
      <w:proofErr w:type="spellStart"/>
      <w:r w:rsidRPr="002D0383">
        <w:rPr>
          <w:rFonts w:asciiTheme="minorHAnsi" w:hAnsiTheme="minorHAnsi" w:cstheme="minorHAnsi"/>
          <w:lang w:val="en-US"/>
        </w:rPr>
        <w:t>Stadtmarketing</w:t>
      </w:r>
      <w:proofErr w:type="spellEnd"/>
      <w:r w:rsidRPr="002D0383">
        <w:rPr>
          <w:rFonts w:asciiTheme="minorHAnsi" w:hAnsiTheme="minorHAnsi" w:cstheme="minorHAnsi"/>
          <w:lang w:val="en-US"/>
        </w:rPr>
        <w:t xml:space="preserve"> Mannheim, n.d. </w:t>
      </w:r>
      <w:r w:rsidRPr="002D0383">
        <w:rPr>
          <w:rFonts w:asciiTheme="minorHAnsi" w:hAnsiTheme="minorHAnsi" w:cstheme="minorHAnsi"/>
          <w:i/>
          <w:iCs/>
          <w:lang w:val="en-US"/>
        </w:rPr>
        <w:t xml:space="preserve">Culture Life </w:t>
      </w:r>
      <w:proofErr w:type="gramStart"/>
      <w:r w:rsidRPr="002D0383">
        <w:rPr>
          <w:rFonts w:asciiTheme="minorHAnsi" w:hAnsiTheme="minorHAnsi" w:cstheme="minorHAnsi"/>
          <w:i/>
          <w:iCs/>
          <w:lang w:val="en-US"/>
        </w:rPr>
        <w:t>In</w:t>
      </w:r>
      <w:proofErr w:type="gramEnd"/>
      <w:r w:rsidRPr="002D0383">
        <w:rPr>
          <w:rFonts w:asciiTheme="minorHAnsi" w:hAnsiTheme="minorHAnsi" w:cstheme="minorHAnsi"/>
          <w:i/>
          <w:iCs/>
          <w:lang w:val="en-US"/>
        </w:rPr>
        <w:t xml:space="preserve"> Mannheim - Modern By Tradition. </w:t>
      </w:r>
      <w:r w:rsidRPr="002D0383">
        <w:rPr>
          <w:rFonts w:asciiTheme="minorHAnsi" w:hAnsiTheme="minorHAnsi" w:cstheme="minorHAnsi"/>
          <w:lang w:val="en-US"/>
        </w:rPr>
        <w:t xml:space="preserve">[Online] </w:t>
      </w:r>
      <w:r w:rsidRPr="002D0383">
        <w:rPr>
          <w:rFonts w:asciiTheme="minorHAnsi" w:hAnsiTheme="minorHAnsi" w:cstheme="minorHAnsi"/>
          <w:lang w:val="en-US"/>
        </w:rPr>
        <w:br/>
        <w:t xml:space="preserve">Available at: </w:t>
      </w:r>
      <w:r w:rsidRPr="002D0383">
        <w:rPr>
          <w:rFonts w:asciiTheme="minorHAnsi" w:hAnsiTheme="minorHAnsi" w:cstheme="minorHAnsi"/>
          <w:u w:val="single"/>
          <w:lang w:val="en-US"/>
        </w:rPr>
        <w:t>https://www.visit-mannheim.de/en/culture-festivals</w:t>
      </w:r>
      <w:r w:rsidRPr="002D0383">
        <w:rPr>
          <w:rFonts w:asciiTheme="minorHAnsi" w:hAnsiTheme="minorHAnsi" w:cstheme="minorHAnsi"/>
          <w:lang w:val="en-US"/>
        </w:rPr>
        <w:br/>
        <w:t>[Accessed 15 August 2022].</w:t>
      </w:r>
    </w:p>
    <w:p w14:paraId="43A06701" w14:textId="77777777" w:rsidR="0072730E" w:rsidRPr="002D0383" w:rsidRDefault="0072730E" w:rsidP="0072730E">
      <w:pPr>
        <w:pStyle w:val="Bibliography"/>
        <w:rPr>
          <w:rFonts w:asciiTheme="minorHAnsi" w:hAnsiTheme="minorHAnsi" w:cstheme="minorHAnsi"/>
          <w:noProof/>
          <w:lang w:val="en-US"/>
        </w:rPr>
      </w:pPr>
      <w:r w:rsidRPr="002D0383">
        <w:rPr>
          <w:rFonts w:asciiTheme="minorHAnsi" w:hAnsiTheme="minorHAnsi" w:cstheme="minorHAnsi"/>
          <w:noProof/>
          <w:lang w:val="en-US"/>
        </w:rPr>
        <w:t xml:space="preserve">Tawalbeha, M. et al., 2021. Environmental impacts of solar photovoltaic systems: A critical review of recent progress and future outlook. </w:t>
      </w:r>
      <w:r w:rsidRPr="002D0383">
        <w:rPr>
          <w:rFonts w:asciiTheme="minorHAnsi" w:hAnsiTheme="minorHAnsi" w:cstheme="minorHAnsi"/>
          <w:i/>
          <w:iCs/>
          <w:noProof/>
          <w:lang w:val="en-US"/>
        </w:rPr>
        <w:t xml:space="preserve">Science of The Total Environment, </w:t>
      </w:r>
      <w:r w:rsidRPr="002D0383">
        <w:rPr>
          <w:rFonts w:asciiTheme="minorHAnsi" w:hAnsiTheme="minorHAnsi" w:cstheme="minorHAnsi"/>
          <w:noProof/>
          <w:lang w:val="en-US"/>
        </w:rPr>
        <w:t>Volume 759.</w:t>
      </w:r>
    </w:p>
    <w:p w14:paraId="28258D09" w14:textId="370BDFB0" w:rsidR="0072730E" w:rsidRPr="002D0383" w:rsidRDefault="0072730E" w:rsidP="0072730E">
      <w:pPr>
        <w:pStyle w:val="Bibliography"/>
        <w:rPr>
          <w:rFonts w:asciiTheme="minorHAnsi" w:hAnsiTheme="minorHAnsi" w:cstheme="minorHAnsi"/>
          <w:noProof/>
          <w:lang w:val="en-US"/>
        </w:rPr>
      </w:pPr>
      <w:r w:rsidRPr="002D0383">
        <w:rPr>
          <w:rFonts w:asciiTheme="minorHAnsi" w:hAnsiTheme="minorHAnsi" w:cstheme="minorHAnsi"/>
          <w:noProof/>
          <w:lang w:val="en-US"/>
        </w:rPr>
        <w:t xml:space="preserve">Toivolaa, M., Ferenetsb, M., Lunda, P. &amp; Harlinb, A., 2009. Photovoltaic fiber. </w:t>
      </w:r>
      <w:r w:rsidRPr="002D0383">
        <w:rPr>
          <w:rFonts w:asciiTheme="minorHAnsi" w:hAnsiTheme="minorHAnsi" w:cstheme="minorHAnsi"/>
          <w:i/>
          <w:iCs/>
          <w:noProof/>
          <w:lang w:val="en-US"/>
        </w:rPr>
        <w:t xml:space="preserve">Thin Solid Films, </w:t>
      </w:r>
      <w:r w:rsidRPr="002D0383">
        <w:rPr>
          <w:rFonts w:asciiTheme="minorHAnsi" w:hAnsiTheme="minorHAnsi" w:cstheme="minorHAnsi"/>
          <w:noProof/>
          <w:lang w:val="en-US"/>
        </w:rPr>
        <w:t>517(8), pp. 2799-2802.</w:t>
      </w:r>
    </w:p>
    <w:p w14:paraId="1DF87FE7" w14:textId="615F076F" w:rsidR="0072730E" w:rsidRPr="002D0383" w:rsidRDefault="008D121B" w:rsidP="008568E1">
      <w:pPr>
        <w:pStyle w:val="Bibliography"/>
        <w:rPr>
          <w:rFonts w:asciiTheme="minorHAnsi" w:hAnsiTheme="minorHAnsi" w:cstheme="minorHAnsi"/>
        </w:rPr>
      </w:pPr>
      <w:proofErr w:type="spellStart"/>
      <w:r w:rsidRPr="002D0383">
        <w:rPr>
          <w:rFonts w:asciiTheme="minorHAnsi" w:hAnsiTheme="minorHAnsi" w:cstheme="minorHAnsi"/>
          <w:lang w:val="en-US"/>
        </w:rPr>
        <w:t>Vatansever</w:t>
      </w:r>
      <w:proofErr w:type="spellEnd"/>
      <w:r w:rsidRPr="002D0383">
        <w:rPr>
          <w:rFonts w:asciiTheme="minorHAnsi" w:hAnsiTheme="minorHAnsi" w:cstheme="minorHAnsi"/>
          <w:lang w:val="en-US"/>
        </w:rPr>
        <w:t xml:space="preserve">, D., </w:t>
      </w:r>
      <w:proofErr w:type="spellStart"/>
      <w:r w:rsidRPr="002D0383">
        <w:rPr>
          <w:rFonts w:asciiTheme="minorHAnsi" w:hAnsiTheme="minorHAnsi" w:cstheme="minorHAnsi"/>
          <w:lang w:val="en-US"/>
        </w:rPr>
        <w:t>Siores</w:t>
      </w:r>
      <w:proofErr w:type="spellEnd"/>
      <w:r w:rsidRPr="002D0383">
        <w:rPr>
          <w:rFonts w:asciiTheme="minorHAnsi" w:hAnsiTheme="minorHAnsi" w:cstheme="minorHAnsi"/>
          <w:lang w:val="en-US"/>
        </w:rPr>
        <w:t xml:space="preserve">, E. &amp; Shah, T., 2012. Alternative Resources for Renewable Energy: Piezoelectric and Photovoltaic Smart Structures. In: </w:t>
      </w:r>
      <w:r w:rsidRPr="002D0383">
        <w:rPr>
          <w:rFonts w:asciiTheme="minorHAnsi" w:hAnsiTheme="minorHAnsi" w:cstheme="minorHAnsi"/>
          <w:i/>
          <w:iCs/>
          <w:lang w:val="en-US"/>
        </w:rPr>
        <w:t xml:space="preserve">Global Warming - Impacts and Future Perspective. </w:t>
      </w:r>
      <w:r w:rsidRPr="002D0383">
        <w:rPr>
          <w:rFonts w:asciiTheme="minorHAnsi" w:hAnsiTheme="minorHAnsi" w:cstheme="minorHAnsi"/>
          <w:lang w:val="en-US"/>
        </w:rPr>
        <w:t xml:space="preserve">Manchester: </w:t>
      </w:r>
      <w:proofErr w:type="spellStart"/>
      <w:r w:rsidRPr="002D0383">
        <w:rPr>
          <w:rFonts w:asciiTheme="minorHAnsi" w:hAnsiTheme="minorHAnsi" w:cstheme="minorHAnsi"/>
          <w:lang w:val="en-US"/>
        </w:rPr>
        <w:t>InTech</w:t>
      </w:r>
      <w:proofErr w:type="spellEnd"/>
      <w:r w:rsidRPr="002D0383">
        <w:rPr>
          <w:rFonts w:asciiTheme="minorHAnsi" w:hAnsiTheme="minorHAnsi" w:cstheme="minorHAnsi"/>
          <w:lang w:val="en-US"/>
        </w:rPr>
        <w:t xml:space="preserve"> Publishing, pp. 263 - 290.</w:t>
      </w:r>
    </w:p>
    <w:sectPr w:rsidR="0072730E" w:rsidRPr="002D0383">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0BE0D" w14:textId="77777777" w:rsidR="00E72414" w:rsidRDefault="00E72414">
      <w:pPr>
        <w:spacing w:after="0"/>
      </w:pPr>
      <w:r>
        <w:separator/>
      </w:r>
    </w:p>
  </w:endnote>
  <w:endnote w:type="continuationSeparator" w:id="0">
    <w:p w14:paraId="00F9BE88" w14:textId="77777777" w:rsidR="00E72414" w:rsidRDefault="00E7241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CDCF8" w14:textId="77777777" w:rsidR="00E72414" w:rsidRDefault="00E72414">
      <w:pPr>
        <w:spacing w:after="0"/>
      </w:pPr>
      <w:r>
        <w:rPr>
          <w:color w:val="000000"/>
        </w:rPr>
        <w:separator/>
      </w:r>
    </w:p>
  </w:footnote>
  <w:footnote w:type="continuationSeparator" w:id="0">
    <w:p w14:paraId="6C60FA35" w14:textId="77777777" w:rsidR="00E72414" w:rsidRDefault="00E7241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177E79"/>
    <w:multiLevelType w:val="hybridMultilevel"/>
    <w:tmpl w:val="79869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4D44522"/>
    <w:multiLevelType w:val="multilevel"/>
    <w:tmpl w:val="D8887C1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224759788">
    <w:abstractNumId w:val="1"/>
  </w:num>
  <w:num w:numId="2" w16cid:durableId="4434277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BF3"/>
    <w:rsid w:val="0000090E"/>
    <w:rsid w:val="000017B1"/>
    <w:rsid w:val="0001142B"/>
    <w:rsid w:val="000141AE"/>
    <w:rsid w:val="00023D08"/>
    <w:rsid w:val="00025FFF"/>
    <w:rsid w:val="0003151E"/>
    <w:rsid w:val="00031DFE"/>
    <w:rsid w:val="00035128"/>
    <w:rsid w:val="00037B34"/>
    <w:rsid w:val="00047FA3"/>
    <w:rsid w:val="00051243"/>
    <w:rsid w:val="00054996"/>
    <w:rsid w:val="00054BD7"/>
    <w:rsid w:val="00063A3F"/>
    <w:rsid w:val="00064790"/>
    <w:rsid w:val="000656DD"/>
    <w:rsid w:val="00065FE3"/>
    <w:rsid w:val="0006692C"/>
    <w:rsid w:val="00075A6D"/>
    <w:rsid w:val="00077293"/>
    <w:rsid w:val="00082451"/>
    <w:rsid w:val="00091478"/>
    <w:rsid w:val="000931D8"/>
    <w:rsid w:val="0009741E"/>
    <w:rsid w:val="000C0C01"/>
    <w:rsid w:val="000C43FD"/>
    <w:rsid w:val="000C52FA"/>
    <w:rsid w:val="000C62D4"/>
    <w:rsid w:val="000D220A"/>
    <w:rsid w:val="000D3746"/>
    <w:rsid w:val="000D6A03"/>
    <w:rsid w:val="000F5646"/>
    <w:rsid w:val="000F7F85"/>
    <w:rsid w:val="001037B7"/>
    <w:rsid w:val="00110A9B"/>
    <w:rsid w:val="00115155"/>
    <w:rsid w:val="001164D8"/>
    <w:rsid w:val="00125766"/>
    <w:rsid w:val="001277E7"/>
    <w:rsid w:val="00137885"/>
    <w:rsid w:val="00137B5E"/>
    <w:rsid w:val="00137FD1"/>
    <w:rsid w:val="00141FDF"/>
    <w:rsid w:val="0014326D"/>
    <w:rsid w:val="001515CA"/>
    <w:rsid w:val="001525D1"/>
    <w:rsid w:val="00154950"/>
    <w:rsid w:val="00162A37"/>
    <w:rsid w:val="00166027"/>
    <w:rsid w:val="001664B7"/>
    <w:rsid w:val="00166B9D"/>
    <w:rsid w:val="0017020C"/>
    <w:rsid w:val="001765B2"/>
    <w:rsid w:val="001769AC"/>
    <w:rsid w:val="00176FB2"/>
    <w:rsid w:val="00181287"/>
    <w:rsid w:val="00181D80"/>
    <w:rsid w:val="00185B8B"/>
    <w:rsid w:val="00186233"/>
    <w:rsid w:val="00193AD6"/>
    <w:rsid w:val="001A029D"/>
    <w:rsid w:val="001A0B87"/>
    <w:rsid w:val="001A2089"/>
    <w:rsid w:val="001A7B48"/>
    <w:rsid w:val="001B00DB"/>
    <w:rsid w:val="001B02CC"/>
    <w:rsid w:val="001B1EA5"/>
    <w:rsid w:val="001B348B"/>
    <w:rsid w:val="001B728E"/>
    <w:rsid w:val="001C0175"/>
    <w:rsid w:val="001E527B"/>
    <w:rsid w:val="001E5FDC"/>
    <w:rsid w:val="001F1457"/>
    <w:rsid w:val="001F3891"/>
    <w:rsid w:val="001F4550"/>
    <w:rsid w:val="001F77C5"/>
    <w:rsid w:val="0020157B"/>
    <w:rsid w:val="0020206F"/>
    <w:rsid w:val="002156D0"/>
    <w:rsid w:val="0022323A"/>
    <w:rsid w:val="0023461D"/>
    <w:rsid w:val="00236132"/>
    <w:rsid w:val="0024379D"/>
    <w:rsid w:val="00244F15"/>
    <w:rsid w:val="002476A2"/>
    <w:rsid w:val="00247E97"/>
    <w:rsid w:val="002504F0"/>
    <w:rsid w:val="00250E69"/>
    <w:rsid w:val="0025248A"/>
    <w:rsid w:val="00252A55"/>
    <w:rsid w:val="0025330E"/>
    <w:rsid w:val="00256429"/>
    <w:rsid w:val="00260D2E"/>
    <w:rsid w:val="002618FB"/>
    <w:rsid w:val="00261991"/>
    <w:rsid w:val="00262F90"/>
    <w:rsid w:val="002633FB"/>
    <w:rsid w:val="00263832"/>
    <w:rsid w:val="002717E2"/>
    <w:rsid w:val="0027193D"/>
    <w:rsid w:val="00274C44"/>
    <w:rsid w:val="0027775D"/>
    <w:rsid w:val="00285688"/>
    <w:rsid w:val="002905F3"/>
    <w:rsid w:val="0029170A"/>
    <w:rsid w:val="0029274A"/>
    <w:rsid w:val="00293469"/>
    <w:rsid w:val="00296E51"/>
    <w:rsid w:val="002A21C5"/>
    <w:rsid w:val="002A4C4D"/>
    <w:rsid w:val="002A7BE1"/>
    <w:rsid w:val="002B3F68"/>
    <w:rsid w:val="002B5142"/>
    <w:rsid w:val="002D0383"/>
    <w:rsid w:val="002D45EC"/>
    <w:rsid w:val="002D796D"/>
    <w:rsid w:val="002D7A19"/>
    <w:rsid w:val="002D7C34"/>
    <w:rsid w:val="002E0EF7"/>
    <w:rsid w:val="002E426F"/>
    <w:rsid w:val="002E77EF"/>
    <w:rsid w:val="002F4B2F"/>
    <w:rsid w:val="002F7A97"/>
    <w:rsid w:val="00300298"/>
    <w:rsid w:val="003004AD"/>
    <w:rsid w:val="00316D23"/>
    <w:rsid w:val="00317BB3"/>
    <w:rsid w:val="00320C40"/>
    <w:rsid w:val="00327E6C"/>
    <w:rsid w:val="00332808"/>
    <w:rsid w:val="003367B7"/>
    <w:rsid w:val="00336C12"/>
    <w:rsid w:val="0034205E"/>
    <w:rsid w:val="00353DC6"/>
    <w:rsid w:val="003552AC"/>
    <w:rsid w:val="00361055"/>
    <w:rsid w:val="0036757B"/>
    <w:rsid w:val="00367643"/>
    <w:rsid w:val="00370A09"/>
    <w:rsid w:val="003735A0"/>
    <w:rsid w:val="003736C0"/>
    <w:rsid w:val="00374921"/>
    <w:rsid w:val="00377D2E"/>
    <w:rsid w:val="00382852"/>
    <w:rsid w:val="00384B13"/>
    <w:rsid w:val="0038660E"/>
    <w:rsid w:val="00390D93"/>
    <w:rsid w:val="00394E2B"/>
    <w:rsid w:val="003A0270"/>
    <w:rsid w:val="003A1C9F"/>
    <w:rsid w:val="003A6968"/>
    <w:rsid w:val="003B4671"/>
    <w:rsid w:val="003C3052"/>
    <w:rsid w:val="003C4BBA"/>
    <w:rsid w:val="003C6B87"/>
    <w:rsid w:val="003C70EF"/>
    <w:rsid w:val="003D6556"/>
    <w:rsid w:val="003E4487"/>
    <w:rsid w:val="003E4D9A"/>
    <w:rsid w:val="003E7A4B"/>
    <w:rsid w:val="003F3D92"/>
    <w:rsid w:val="00404F59"/>
    <w:rsid w:val="0040537B"/>
    <w:rsid w:val="004132E9"/>
    <w:rsid w:val="00414AE9"/>
    <w:rsid w:val="00414E1C"/>
    <w:rsid w:val="0041713B"/>
    <w:rsid w:val="00421EF2"/>
    <w:rsid w:val="0042463D"/>
    <w:rsid w:val="00425022"/>
    <w:rsid w:val="00425204"/>
    <w:rsid w:val="00432D72"/>
    <w:rsid w:val="00442113"/>
    <w:rsid w:val="004425B8"/>
    <w:rsid w:val="0044351C"/>
    <w:rsid w:val="004467BE"/>
    <w:rsid w:val="004475D7"/>
    <w:rsid w:val="00473BF3"/>
    <w:rsid w:val="004913A5"/>
    <w:rsid w:val="004925FD"/>
    <w:rsid w:val="004944BB"/>
    <w:rsid w:val="0049696E"/>
    <w:rsid w:val="004A2BBB"/>
    <w:rsid w:val="004A4DEA"/>
    <w:rsid w:val="004A5898"/>
    <w:rsid w:val="004A77A6"/>
    <w:rsid w:val="004B5A40"/>
    <w:rsid w:val="004C69ED"/>
    <w:rsid w:val="004D4815"/>
    <w:rsid w:val="004E050E"/>
    <w:rsid w:val="004E4712"/>
    <w:rsid w:val="004F0FE3"/>
    <w:rsid w:val="004F18E6"/>
    <w:rsid w:val="004F4644"/>
    <w:rsid w:val="004F5AAA"/>
    <w:rsid w:val="004F5E99"/>
    <w:rsid w:val="004F61FA"/>
    <w:rsid w:val="00510A11"/>
    <w:rsid w:val="00512148"/>
    <w:rsid w:val="005205B8"/>
    <w:rsid w:val="00520F5A"/>
    <w:rsid w:val="005241F0"/>
    <w:rsid w:val="00525964"/>
    <w:rsid w:val="0053236F"/>
    <w:rsid w:val="0053454F"/>
    <w:rsid w:val="00537D83"/>
    <w:rsid w:val="0054048C"/>
    <w:rsid w:val="005414CD"/>
    <w:rsid w:val="00545C81"/>
    <w:rsid w:val="0054655F"/>
    <w:rsid w:val="00546A82"/>
    <w:rsid w:val="00551B3F"/>
    <w:rsid w:val="00551BCB"/>
    <w:rsid w:val="005579AA"/>
    <w:rsid w:val="005613F8"/>
    <w:rsid w:val="005628AC"/>
    <w:rsid w:val="005751EB"/>
    <w:rsid w:val="005810CD"/>
    <w:rsid w:val="00586BD0"/>
    <w:rsid w:val="00587599"/>
    <w:rsid w:val="00592D21"/>
    <w:rsid w:val="005954FB"/>
    <w:rsid w:val="005A2D7F"/>
    <w:rsid w:val="005A4A07"/>
    <w:rsid w:val="005A6DB6"/>
    <w:rsid w:val="005C2E4F"/>
    <w:rsid w:val="005C52FC"/>
    <w:rsid w:val="005D0D49"/>
    <w:rsid w:val="005D1B0C"/>
    <w:rsid w:val="005D408B"/>
    <w:rsid w:val="005D69DB"/>
    <w:rsid w:val="005E06C3"/>
    <w:rsid w:val="005E1CF1"/>
    <w:rsid w:val="005E1E29"/>
    <w:rsid w:val="005E29FE"/>
    <w:rsid w:val="005E2D4A"/>
    <w:rsid w:val="005E5839"/>
    <w:rsid w:val="005E780C"/>
    <w:rsid w:val="005F0589"/>
    <w:rsid w:val="005F3DE0"/>
    <w:rsid w:val="0060037C"/>
    <w:rsid w:val="00603C74"/>
    <w:rsid w:val="00604322"/>
    <w:rsid w:val="006076AF"/>
    <w:rsid w:val="0061347B"/>
    <w:rsid w:val="00614543"/>
    <w:rsid w:val="0061471C"/>
    <w:rsid w:val="00631D74"/>
    <w:rsid w:val="00631E2D"/>
    <w:rsid w:val="00632842"/>
    <w:rsid w:val="00640839"/>
    <w:rsid w:val="00642BB9"/>
    <w:rsid w:val="00642D58"/>
    <w:rsid w:val="0065758E"/>
    <w:rsid w:val="00661439"/>
    <w:rsid w:val="0066207F"/>
    <w:rsid w:val="006622AA"/>
    <w:rsid w:val="00673EDC"/>
    <w:rsid w:val="006901B2"/>
    <w:rsid w:val="006930EC"/>
    <w:rsid w:val="006A39A0"/>
    <w:rsid w:val="006B09B8"/>
    <w:rsid w:val="006C2657"/>
    <w:rsid w:val="006D2481"/>
    <w:rsid w:val="006D34F4"/>
    <w:rsid w:val="006D5A32"/>
    <w:rsid w:val="006F21FA"/>
    <w:rsid w:val="006F5407"/>
    <w:rsid w:val="0070041F"/>
    <w:rsid w:val="0070164A"/>
    <w:rsid w:val="00702947"/>
    <w:rsid w:val="00702B23"/>
    <w:rsid w:val="007065B4"/>
    <w:rsid w:val="00706BFC"/>
    <w:rsid w:val="0072110B"/>
    <w:rsid w:val="00722BCB"/>
    <w:rsid w:val="00725A07"/>
    <w:rsid w:val="0072730E"/>
    <w:rsid w:val="00727C3E"/>
    <w:rsid w:val="007311C2"/>
    <w:rsid w:val="0074044F"/>
    <w:rsid w:val="00743DD1"/>
    <w:rsid w:val="00753390"/>
    <w:rsid w:val="00760BC0"/>
    <w:rsid w:val="0076339F"/>
    <w:rsid w:val="00766050"/>
    <w:rsid w:val="0077192F"/>
    <w:rsid w:val="00773DAB"/>
    <w:rsid w:val="007766C5"/>
    <w:rsid w:val="00780D36"/>
    <w:rsid w:val="00795E3F"/>
    <w:rsid w:val="007A0DB9"/>
    <w:rsid w:val="007A5F40"/>
    <w:rsid w:val="007A7010"/>
    <w:rsid w:val="007B0190"/>
    <w:rsid w:val="007B5CE8"/>
    <w:rsid w:val="007C0254"/>
    <w:rsid w:val="007C0EAD"/>
    <w:rsid w:val="007C5475"/>
    <w:rsid w:val="007D61CF"/>
    <w:rsid w:val="007E77B1"/>
    <w:rsid w:val="007F5B91"/>
    <w:rsid w:val="0080291C"/>
    <w:rsid w:val="00807EAD"/>
    <w:rsid w:val="00820A59"/>
    <w:rsid w:val="00823FE7"/>
    <w:rsid w:val="00827434"/>
    <w:rsid w:val="0083072A"/>
    <w:rsid w:val="0083711D"/>
    <w:rsid w:val="00850ED3"/>
    <w:rsid w:val="008568E1"/>
    <w:rsid w:val="008572AD"/>
    <w:rsid w:val="00865485"/>
    <w:rsid w:val="008718D9"/>
    <w:rsid w:val="0087202D"/>
    <w:rsid w:val="008749FE"/>
    <w:rsid w:val="00883666"/>
    <w:rsid w:val="00887D20"/>
    <w:rsid w:val="00892760"/>
    <w:rsid w:val="0089383E"/>
    <w:rsid w:val="00893A79"/>
    <w:rsid w:val="00894886"/>
    <w:rsid w:val="0089650E"/>
    <w:rsid w:val="008B556F"/>
    <w:rsid w:val="008B60C1"/>
    <w:rsid w:val="008B698D"/>
    <w:rsid w:val="008C72BB"/>
    <w:rsid w:val="008D121B"/>
    <w:rsid w:val="008D4A04"/>
    <w:rsid w:val="008D53AF"/>
    <w:rsid w:val="008E1A9E"/>
    <w:rsid w:val="00901825"/>
    <w:rsid w:val="00905166"/>
    <w:rsid w:val="00906392"/>
    <w:rsid w:val="00907276"/>
    <w:rsid w:val="0091197B"/>
    <w:rsid w:val="00912640"/>
    <w:rsid w:val="0091321B"/>
    <w:rsid w:val="00913731"/>
    <w:rsid w:val="00922D11"/>
    <w:rsid w:val="00924F26"/>
    <w:rsid w:val="009274EB"/>
    <w:rsid w:val="00927666"/>
    <w:rsid w:val="00931EB8"/>
    <w:rsid w:val="00942E24"/>
    <w:rsid w:val="00947D2F"/>
    <w:rsid w:val="009575E6"/>
    <w:rsid w:val="00961961"/>
    <w:rsid w:val="00966EE9"/>
    <w:rsid w:val="00967305"/>
    <w:rsid w:val="0099020A"/>
    <w:rsid w:val="009917CB"/>
    <w:rsid w:val="00995D12"/>
    <w:rsid w:val="009A5999"/>
    <w:rsid w:val="009A69F5"/>
    <w:rsid w:val="009B6A61"/>
    <w:rsid w:val="009B7A8C"/>
    <w:rsid w:val="009B7D87"/>
    <w:rsid w:val="009C1588"/>
    <w:rsid w:val="009C5207"/>
    <w:rsid w:val="009D13D0"/>
    <w:rsid w:val="009D4743"/>
    <w:rsid w:val="009D64EC"/>
    <w:rsid w:val="009D6976"/>
    <w:rsid w:val="009E3B16"/>
    <w:rsid w:val="009E3B32"/>
    <w:rsid w:val="009E4758"/>
    <w:rsid w:val="009F21FA"/>
    <w:rsid w:val="009F2973"/>
    <w:rsid w:val="009F7D19"/>
    <w:rsid w:val="00A00DC5"/>
    <w:rsid w:val="00A03D8B"/>
    <w:rsid w:val="00A04C6C"/>
    <w:rsid w:val="00A05AD7"/>
    <w:rsid w:val="00A134C3"/>
    <w:rsid w:val="00A13F2A"/>
    <w:rsid w:val="00A171D5"/>
    <w:rsid w:val="00A20832"/>
    <w:rsid w:val="00A20A9B"/>
    <w:rsid w:val="00A21689"/>
    <w:rsid w:val="00A21DF4"/>
    <w:rsid w:val="00A2241B"/>
    <w:rsid w:val="00A264F0"/>
    <w:rsid w:val="00A303FD"/>
    <w:rsid w:val="00A32F2C"/>
    <w:rsid w:val="00A33A0B"/>
    <w:rsid w:val="00A374F5"/>
    <w:rsid w:val="00A37742"/>
    <w:rsid w:val="00A41E61"/>
    <w:rsid w:val="00A51923"/>
    <w:rsid w:val="00A523B7"/>
    <w:rsid w:val="00A62CA7"/>
    <w:rsid w:val="00A652F7"/>
    <w:rsid w:val="00A70F2E"/>
    <w:rsid w:val="00A7393A"/>
    <w:rsid w:val="00A82216"/>
    <w:rsid w:val="00A842E0"/>
    <w:rsid w:val="00A8756C"/>
    <w:rsid w:val="00A90DDF"/>
    <w:rsid w:val="00AA03BA"/>
    <w:rsid w:val="00AA2C0A"/>
    <w:rsid w:val="00AA3388"/>
    <w:rsid w:val="00AB3FBC"/>
    <w:rsid w:val="00AB4F45"/>
    <w:rsid w:val="00AD1D0E"/>
    <w:rsid w:val="00AD37D2"/>
    <w:rsid w:val="00AF3EBF"/>
    <w:rsid w:val="00AF481F"/>
    <w:rsid w:val="00AF591F"/>
    <w:rsid w:val="00B0308C"/>
    <w:rsid w:val="00B20D5D"/>
    <w:rsid w:val="00B22F07"/>
    <w:rsid w:val="00B3004C"/>
    <w:rsid w:val="00B30170"/>
    <w:rsid w:val="00B30DD6"/>
    <w:rsid w:val="00B34E35"/>
    <w:rsid w:val="00B370FB"/>
    <w:rsid w:val="00B37A47"/>
    <w:rsid w:val="00B43070"/>
    <w:rsid w:val="00B4351F"/>
    <w:rsid w:val="00B468E4"/>
    <w:rsid w:val="00B46B0C"/>
    <w:rsid w:val="00B46E0E"/>
    <w:rsid w:val="00B51BB6"/>
    <w:rsid w:val="00B55D8E"/>
    <w:rsid w:val="00B5711E"/>
    <w:rsid w:val="00B60CAF"/>
    <w:rsid w:val="00B67926"/>
    <w:rsid w:val="00B70947"/>
    <w:rsid w:val="00B72300"/>
    <w:rsid w:val="00B80CE4"/>
    <w:rsid w:val="00B81521"/>
    <w:rsid w:val="00B835D4"/>
    <w:rsid w:val="00B95229"/>
    <w:rsid w:val="00BA1C08"/>
    <w:rsid w:val="00BA2050"/>
    <w:rsid w:val="00BA4A52"/>
    <w:rsid w:val="00BB2810"/>
    <w:rsid w:val="00BD33C6"/>
    <w:rsid w:val="00BD59F2"/>
    <w:rsid w:val="00BE0491"/>
    <w:rsid w:val="00BE158B"/>
    <w:rsid w:val="00BE6FC4"/>
    <w:rsid w:val="00BF071E"/>
    <w:rsid w:val="00BF1542"/>
    <w:rsid w:val="00BF712D"/>
    <w:rsid w:val="00C169E0"/>
    <w:rsid w:val="00C238A0"/>
    <w:rsid w:val="00C3366C"/>
    <w:rsid w:val="00C37461"/>
    <w:rsid w:val="00C526D9"/>
    <w:rsid w:val="00C56071"/>
    <w:rsid w:val="00C56462"/>
    <w:rsid w:val="00C777E2"/>
    <w:rsid w:val="00C77B17"/>
    <w:rsid w:val="00C929DF"/>
    <w:rsid w:val="00C92B97"/>
    <w:rsid w:val="00C9701B"/>
    <w:rsid w:val="00C9722A"/>
    <w:rsid w:val="00CA5341"/>
    <w:rsid w:val="00CA5AE2"/>
    <w:rsid w:val="00CD4202"/>
    <w:rsid w:val="00CD5045"/>
    <w:rsid w:val="00CE0854"/>
    <w:rsid w:val="00CE10A6"/>
    <w:rsid w:val="00CE292A"/>
    <w:rsid w:val="00CE2DCE"/>
    <w:rsid w:val="00CE3042"/>
    <w:rsid w:val="00CF2792"/>
    <w:rsid w:val="00D00EE3"/>
    <w:rsid w:val="00D145CE"/>
    <w:rsid w:val="00D20C79"/>
    <w:rsid w:val="00D214B9"/>
    <w:rsid w:val="00D2471E"/>
    <w:rsid w:val="00D31B7A"/>
    <w:rsid w:val="00D363F3"/>
    <w:rsid w:val="00D41D53"/>
    <w:rsid w:val="00D45804"/>
    <w:rsid w:val="00D46EA9"/>
    <w:rsid w:val="00D70A7C"/>
    <w:rsid w:val="00D72116"/>
    <w:rsid w:val="00D72F27"/>
    <w:rsid w:val="00D742A1"/>
    <w:rsid w:val="00D82F62"/>
    <w:rsid w:val="00D84C1E"/>
    <w:rsid w:val="00D911F4"/>
    <w:rsid w:val="00DA228E"/>
    <w:rsid w:val="00DA68DB"/>
    <w:rsid w:val="00DB2953"/>
    <w:rsid w:val="00DC1254"/>
    <w:rsid w:val="00DC14DB"/>
    <w:rsid w:val="00DD2E47"/>
    <w:rsid w:val="00DE1B63"/>
    <w:rsid w:val="00DE2979"/>
    <w:rsid w:val="00DE3512"/>
    <w:rsid w:val="00DE4B77"/>
    <w:rsid w:val="00DF047D"/>
    <w:rsid w:val="00DF79DA"/>
    <w:rsid w:val="00E02391"/>
    <w:rsid w:val="00E16A62"/>
    <w:rsid w:val="00E23817"/>
    <w:rsid w:val="00E251E0"/>
    <w:rsid w:val="00E26EA7"/>
    <w:rsid w:val="00E319A7"/>
    <w:rsid w:val="00E326F8"/>
    <w:rsid w:val="00E32F9B"/>
    <w:rsid w:val="00E360BE"/>
    <w:rsid w:val="00E42084"/>
    <w:rsid w:val="00E452C2"/>
    <w:rsid w:val="00E53E53"/>
    <w:rsid w:val="00E70F85"/>
    <w:rsid w:val="00E72414"/>
    <w:rsid w:val="00E7396E"/>
    <w:rsid w:val="00E94D7E"/>
    <w:rsid w:val="00E974E7"/>
    <w:rsid w:val="00E9760C"/>
    <w:rsid w:val="00E9799F"/>
    <w:rsid w:val="00EB1412"/>
    <w:rsid w:val="00EB371F"/>
    <w:rsid w:val="00EB37AF"/>
    <w:rsid w:val="00EB428F"/>
    <w:rsid w:val="00EC6973"/>
    <w:rsid w:val="00ED22F5"/>
    <w:rsid w:val="00ED3E91"/>
    <w:rsid w:val="00ED59A5"/>
    <w:rsid w:val="00EE0DEA"/>
    <w:rsid w:val="00EE31E5"/>
    <w:rsid w:val="00EE34D7"/>
    <w:rsid w:val="00EE4850"/>
    <w:rsid w:val="00EF7DBD"/>
    <w:rsid w:val="00F002D9"/>
    <w:rsid w:val="00F02967"/>
    <w:rsid w:val="00F10FDF"/>
    <w:rsid w:val="00F12691"/>
    <w:rsid w:val="00F13EAB"/>
    <w:rsid w:val="00F232F1"/>
    <w:rsid w:val="00F25C5C"/>
    <w:rsid w:val="00F32321"/>
    <w:rsid w:val="00F3716C"/>
    <w:rsid w:val="00F52AB8"/>
    <w:rsid w:val="00F7185B"/>
    <w:rsid w:val="00F73A3F"/>
    <w:rsid w:val="00F93D87"/>
    <w:rsid w:val="00F960A5"/>
    <w:rsid w:val="00F96317"/>
    <w:rsid w:val="00FA0002"/>
    <w:rsid w:val="00FA24BB"/>
    <w:rsid w:val="00FA279E"/>
    <w:rsid w:val="00FA48C1"/>
    <w:rsid w:val="00FA626D"/>
    <w:rsid w:val="00FB0E17"/>
    <w:rsid w:val="00FB16F4"/>
    <w:rsid w:val="00FB1AFC"/>
    <w:rsid w:val="00FB44B7"/>
    <w:rsid w:val="00FC249D"/>
    <w:rsid w:val="00FC6824"/>
    <w:rsid w:val="00FC7BF5"/>
    <w:rsid w:val="00FD16FF"/>
    <w:rsid w:val="00FD3C60"/>
    <w:rsid w:val="00FD49AC"/>
    <w:rsid w:val="00FD5C89"/>
    <w:rsid w:val="00FE23E8"/>
    <w:rsid w:val="00FE2737"/>
    <w:rsid w:val="00FE2B64"/>
    <w:rsid w:val="00FF3722"/>
    <w:rsid w:val="00FF64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4AA94"/>
  <w15:docId w15:val="{FC6C7A1E-5402-48D1-A9DD-60E21E149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0270"/>
    <w:pPr>
      <w:suppressAutoHyphens/>
    </w:pPr>
  </w:style>
  <w:style w:type="paragraph" w:styleId="Heading1">
    <w:name w:val="heading 1"/>
    <w:basedOn w:val="Normal"/>
    <w:next w:val="Normal"/>
    <w:uiPriority w:val="9"/>
    <w:qFormat/>
    <w:pPr>
      <w:keepNext/>
      <w:keepLines/>
      <w:suppressAutoHyphens w:val="0"/>
      <w:spacing w:before="240" w:after="0" w:line="256" w:lineRule="auto"/>
      <w:outlineLvl w:val="0"/>
    </w:pPr>
    <w:rPr>
      <w:rFonts w:ascii="Calibri Light" w:eastAsia="Times New Roman" w:hAnsi="Calibri Light"/>
      <w:color w:val="2F5496"/>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contextualSpacing/>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954F72"/>
      <w:u w:val="single"/>
    </w:rPr>
  </w:style>
  <w:style w:type="character" w:customStyle="1" w:styleId="Heading1Char">
    <w:name w:val="Heading 1 Char"/>
    <w:basedOn w:val="DefaultParagraphFont"/>
    <w:uiPriority w:val="9"/>
    <w:rPr>
      <w:rFonts w:ascii="Calibri Light" w:eastAsia="Times New Roman" w:hAnsi="Calibri Light" w:cs="Times New Roman"/>
      <w:color w:val="2F5496"/>
      <w:sz w:val="32"/>
      <w:szCs w:val="32"/>
      <w:lang w:val="en-US"/>
    </w:rPr>
  </w:style>
  <w:style w:type="paragraph" w:styleId="Bibliography">
    <w:name w:val="Bibliography"/>
    <w:basedOn w:val="Normal"/>
    <w:next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45231">
      <w:bodyDiv w:val="1"/>
      <w:marLeft w:val="0"/>
      <w:marRight w:val="0"/>
      <w:marTop w:val="0"/>
      <w:marBottom w:val="0"/>
      <w:divBdr>
        <w:top w:val="none" w:sz="0" w:space="0" w:color="auto"/>
        <w:left w:val="none" w:sz="0" w:space="0" w:color="auto"/>
        <w:bottom w:val="none" w:sz="0" w:space="0" w:color="auto"/>
        <w:right w:val="none" w:sz="0" w:space="0" w:color="auto"/>
      </w:divBdr>
    </w:div>
    <w:div w:id="632053359">
      <w:bodyDiv w:val="1"/>
      <w:marLeft w:val="0"/>
      <w:marRight w:val="0"/>
      <w:marTop w:val="0"/>
      <w:marBottom w:val="0"/>
      <w:divBdr>
        <w:top w:val="none" w:sz="0" w:space="0" w:color="auto"/>
        <w:left w:val="none" w:sz="0" w:space="0" w:color="auto"/>
        <w:bottom w:val="none" w:sz="0" w:space="0" w:color="auto"/>
        <w:right w:val="none" w:sz="0" w:space="0" w:color="auto"/>
      </w:divBdr>
    </w:div>
    <w:div w:id="717702353">
      <w:bodyDiv w:val="1"/>
      <w:marLeft w:val="0"/>
      <w:marRight w:val="0"/>
      <w:marTop w:val="0"/>
      <w:marBottom w:val="0"/>
      <w:divBdr>
        <w:top w:val="none" w:sz="0" w:space="0" w:color="auto"/>
        <w:left w:val="none" w:sz="0" w:space="0" w:color="auto"/>
        <w:bottom w:val="none" w:sz="0" w:space="0" w:color="auto"/>
        <w:right w:val="none" w:sz="0" w:space="0" w:color="auto"/>
      </w:divBdr>
    </w:div>
    <w:div w:id="775102868">
      <w:bodyDiv w:val="1"/>
      <w:marLeft w:val="0"/>
      <w:marRight w:val="0"/>
      <w:marTop w:val="0"/>
      <w:marBottom w:val="0"/>
      <w:divBdr>
        <w:top w:val="none" w:sz="0" w:space="0" w:color="auto"/>
        <w:left w:val="none" w:sz="0" w:space="0" w:color="auto"/>
        <w:bottom w:val="none" w:sz="0" w:space="0" w:color="auto"/>
        <w:right w:val="none" w:sz="0" w:space="0" w:color="auto"/>
      </w:divBdr>
    </w:div>
    <w:div w:id="875432137">
      <w:bodyDiv w:val="1"/>
      <w:marLeft w:val="0"/>
      <w:marRight w:val="0"/>
      <w:marTop w:val="0"/>
      <w:marBottom w:val="0"/>
      <w:divBdr>
        <w:top w:val="none" w:sz="0" w:space="0" w:color="auto"/>
        <w:left w:val="none" w:sz="0" w:space="0" w:color="auto"/>
        <w:bottom w:val="none" w:sz="0" w:space="0" w:color="auto"/>
        <w:right w:val="none" w:sz="0" w:space="0" w:color="auto"/>
      </w:divBdr>
    </w:div>
    <w:div w:id="988443195">
      <w:bodyDiv w:val="1"/>
      <w:marLeft w:val="0"/>
      <w:marRight w:val="0"/>
      <w:marTop w:val="0"/>
      <w:marBottom w:val="0"/>
      <w:divBdr>
        <w:top w:val="none" w:sz="0" w:space="0" w:color="auto"/>
        <w:left w:val="none" w:sz="0" w:space="0" w:color="auto"/>
        <w:bottom w:val="none" w:sz="0" w:space="0" w:color="auto"/>
        <w:right w:val="none" w:sz="0" w:space="0" w:color="auto"/>
      </w:divBdr>
    </w:div>
    <w:div w:id="1211725624">
      <w:bodyDiv w:val="1"/>
      <w:marLeft w:val="0"/>
      <w:marRight w:val="0"/>
      <w:marTop w:val="0"/>
      <w:marBottom w:val="0"/>
      <w:divBdr>
        <w:top w:val="none" w:sz="0" w:space="0" w:color="auto"/>
        <w:left w:val="none" w:sz="0" w:space="0" w:color="auto"/>
        <w:bottom w:val="none" w:sz="0" w:space="0" w:color="auto"/>
        <w:right w:val="none" w:sz="0" w:space="0" w:color="auto"/>
      </w:divBdr>
    </w:div>
    <w:div w:id="1277063544">
      <w:bodyDiv w:val="1"/>
      <w:marLeft w:val="0"/>
      <w:marRight w:val="0"/>
      <w:marTop w:val="0"/>
      <w:marBottom w:val="0"/>
      <w:divBdr>
        <w:top w:val="none" w:sz="0" w:space="0" w:color="auto"/>
        <w:left w:val="none" w:sz="0" w:space="0" w:color="auto"/>
        <w:bottom w:val="none" w:sz="0" w:space="0" w:color="auto"/>
        <w:right w:val="none" w:sz="0" w:space="0" w:color="auto"/>
      </w:divBdr>
    </w:div>
    <w:div w:id="1642080190">
      <w:bodyDiv w:val="1"/>
      <w:marLeft w:val="0"/>
      <w:marRight w:val="0"/>
      <w:marTop w:val="0"/>
      <w:marBottom w:val="0"/>
      <w:divBdr>
        <w:top w:val="none" w:sz="0" w:space="0" w:color="auto"/>
        <w:left w:val="none" w:sz="0" w:space="0" w:color="auto"/>
        <w:bottom w:val="none" w:sz="0" w:space="0" w:color="auto"/>
        <w:right w:val="none" w:sz="0" w:space="0" w:color="auto"/>
      </w:divBdr>
    </w:div>
    <w:div w:id="1646275639">
      <w:bodyDiv w:val="1"/>
      <w:marLeft w:val="0"/>
      <w:marRight w:val="0"/>
      <w:marTop w:val="0"/>
      <w:marBottom w:val="0"/>
      <w:divBdr>
        <w:top w:val="none" w:sz="0" w:space="0" w:color="auto"/>
        <w:left w:val="none" w:sz="0" w:space="0" w:color="auto"/>
        <w:bottom w:val="none" w:sz="0" w:space="0" w:color="auto"/>
        <w:right w:val="none" w:sz="0" w:space="0" w:color="auto"/>
      </w:divBdr>
    </w:div>
    <w:div w:id="19227881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Mah18</b:Tag>
    <b:SourceType>JournalArticle</b:SourceType>
    <b:Guid>{B790EECE-EDED-4ACF-8A95-8F299A7C2A56}</b:Guid>
    <b:Title>Environmental profile evaluations of piezoelectric polymers using life cycle assessment</b:Title>
    <b:Year>2018</b:Year>
    <b:Author>
      <b:Author>
        <b:NameList>
          <b:Person>
            <b:Last>Mahmud</b:Last>
            <b:First>M.</b:First>
            <b:Middle>A. Parvez</b:Middle>
          </b:Person>
          <b:Person>
            <b:Last>Huda</b:Last>
            <b:First>Nazmul</b:First>
          </b:Person>
          <b:Person>
            <b:Last>Farjana</b:Last>
            <b:First>Shahjadi</b:First>
            <b:Middle>Hisan</b:Middle>
          </b:Person>
          <b:Person>
            <b:Last>Lang</b:Last>
          </b:Person>
          <b:Person>
            <b:Last>Candace</b:Last>
          </b:Person>
        </b:NameList>
      </b:Author>
    </b:Author>
    <b:JournalName>IOP Conference Series: Earth and Environmental Science</b:JournalName>
    <b:Volume>154</b:Volume>
    <b:RefOrder>1</b:RefOrder>
  </b:Source>
  <b:Source>
    <b:Tag>Mon18</b:Tag>
    <b:SourceType>InternetSite</b:SourceType>
    <b:Guid>{044BE6C7-70C7-46F8-95E2-B62BA21D9C48}</b:Guid>
    <b:Title>This Flexible, Piezoelectric Fabric Turns Kinetic Energy Into Electricity</b:Title>
    <b:Year>2018</b:Year>
    <b:Author>
      <b:Author>
        <b:NameList>
          <b:Person>
            <b:Last>Montalbano</b:Last>
            <b:First>Elizabeth</b:First>
          </b:Person>
        </b:NameList>
      </b:Author>
    </b:Author>
    <b:InternetSiteTitle>DesignNews</b:InternetSiteTitle>
    <b:Month>April</b:Month>
    <b:Day>5</b:Day>
    <b:URL>https://www.designnews.com/materials-assembly/flexible-piezoelectric-fabric-turns-kinetic-energy-electricity</b:URL>
    <b:YearAccessed>2022</b:YearAccessed>
    <b:MonthAccessed>August</b:MonthAccessed>
    <b:DayAccessed>22</b:DayAccessed>
    <b:RefOrder>2</b:RefOrder>
  </b:Source>
  <b:Source>
    <b:Tag>Mat22</b:Tag>
    <b:SourceType>InternetSite</b:SourceType>
    <b:Guid>{9BF71C07-98D6-45BC-8BCD-A27A6E03FC90}</b:Guid>
    <b:Author>
      <b:Author>
        <b:Corporate>Matmatch</b:Corporate>
      </b:Author>
    </b:Author>
    <b:Title>Polyvinylidene Fluoride (PVDF): Properties, Production, &amp; Applications</b:Title>
    <b:Year>2022</b:Year>
    <b:YearAccessed>2022</b:YearAccessed>
    <b:MonthAccessed>August</b:MonthAccessed>
    <b:DayAccessed>22</b:DayAccessed>
    <b:URL>https://matmatch.com/learn/material/polyvinylidene-fluoride-pvdf</b:URL>
    <b:RefOrder>3</b:RefOrder>
  </b:Source>
  <b:Source>
    <b:Tag>Toi09</b:Tag>
    <b:SourceType>JournalArticle</b:SourceType>
    <b:Guid>{736879DE-389D-4100-91A9-AF989018D5D0}</b:Guid>
    <b:Title>Photovoltaic fiber</b:Title>
    <b:Year>2009</b:Year>
    <b:Author>
      <b:Author>
        <b:NameList>
          <b:Person>
            <b:Last>Toivolaa</b:Last>
            <b:First>Minna</b:First>
          </b:Person>
          <b:Person>
            <b:Last>Ferenetsb</b:Last>
            <b:First>Marju</b:First>
          </b:Person>
          <b:Person>
            <b:Last>Lunda</b:Last>
            <b:First>Peter</b:First>
          </b:Person>
          <b:Person>
            <b:Last>Harlinb</b:Last>
            <b:First>Ali</b:First>
          </b:Person>
        </b:NameList>
      </b:Author>
    </b:Author>
    <b:JournalName>Thin Solid Films</b:JournalName>
    <b:Pages>2799-2802</b:Pages>
    <b:Volume>517</b:Volume>
    <b:Issue>8</b:Issue>
    <b:RefOrder>4</b:RefOrder>
  </b:Source>
  <b:Source>
    <b:Tag>Taw21</b:Tag>
    <b:SourceType>JournalArticle</b:SourceType>
    <b:Guid>{B6338FC5-9F29-46D3-969F-B7336EDCFB0D}</b:Guid>
    <b:Author>
      <b:Author>
        <b:NameList>
          <b:Person>
            <b:Last>Tawalbeha</b:Last>
            <b:First>Muhammad</b:First>
          </b:Person>
          <b:Person>
            <b:Last>Al-Othmanb</b:Last>
            <b:First>Amani</b:First>
          </b:Person>
          <b:Person>
            <b:Last>Kafiahc</b:Last>
            <b:First>Feras</b:First>
          </b:Person>
          <b:Person>
            <b:Last>Abdelsalamc</b:Last>
            <b:First>Emad</b:First>
          </b:Person>
          <b:Person>
            <b:Last>Almomanid</b:Last>
            <b:First>Fares</b:First>
          </b:Person>
          <b:Person>
            <b:Last>Alkasrawi</b:Last>
            <b:First>Malek</b:First>
          </b:Person>
        </b:NameList>
      </b:Author>
    </b:Author>
    <b:Title>Environmental impacts of solar photovoltaic systems: A critical review of recent progress and future outlook</b:Title>
    <b:JournalName>Science of The Total Environment</b:JournalName>
    <b:Year>2021</b:Year>
    <b:Volume>759</b:Volume>
    <b:RefOrder>5</b:RefOrder>
  </b:Source>
</b:Sources>
</file>

<file path=customXml/itemProps1.xml><?xml version="1.0" encoding="utf-8"?>
<ds:datastoreItem xmlns:ds="http://schemas.openxmlformats.org/officeDocument/2006/customXml" ds:itemID="{3A9DF252-837A-4E97-9D67-8564BFD9C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2101</Words>
  <Characters>11976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yunhui luk</dc:creator>
  <dc:description/>
  <cp:lastModifiedBy>Luk, Yunhui</cp:lastModifiedBy>
  <cp:revision>5</cp:revision>
  <dcterms:created xsi:type="dcterms:W3CDTF">2022-09-02T21:02:00Z</dcterms:created>
  <dcterms:modified xsi:type="dcterms:W3CDTF">2022-09-03T19:21:00Z</dcterms:modified>
</cp:coreProperties>
</file>