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Climate change is a gradual and unseen process for most. However, the stories of/from those at the receiving end are daunting and alarming. We</w:t>
      </w:r>
      <w:r>
        <w:rPr>
          <w:rFonts w:ascii="Public Sans Regular" w:hAnsi="Public Sans Regular" w:hint="default"/>
          <w:i w:val="1"/>
          <w:iCs w:val="1"/>
          <w:sz w:val="20"/>
          <w:szCs w:val="20"/>
          <w:rtl w:val="1"/>
        </w:rPr>
        <w:t>’</w:t>
      </w:r>
      <w:r>
        <w:rPr>
          <w:rFonts w:ascii="Public Sans Regular" w:hAnsi="Public Sans Regular"/>
          <w:i w:val="1"/>
          <w:iCs w:val="1"/>
          <w:sz w:val="20"/>
          <w:szCs w:val="20"/>
          <w:rtl w:val="0"/>
          <w:lang w:val="en-US"/>
        </w:rPr>
        <w:t>ve played witness to long stretches of harsh winters, scorching summers, forest fires in the Amazons, to floods in Pakistan (these observation change</w:t>
      </w:r>
      <w:r>
        <w:rPr>
          <w:rFonts w:ascii="Public Sans Regular" w:hAnsi="Public Sans Regular"/>
          <w:i w:val="1"/>
          <w:iCs w:val="1"/>
          <w:sz w:val="20"/>
          <w:szCs w:val="20"/>
          <w:rtl w:val="0"/>
          <w:lang w:val="en-US"/>
        </w:rPr>
        <w:t xml:space="preserve"> </w:t>
      </w:r>
      <w:r>
        <w:rPr>
          <w:rFonts w:ascii="Public Sans Regular" w:hAnsi="Public Sans Regular"/>
          <w:i w:val="1"/>
          <w:iCs w:val="1"/>
          <w:sz w:val="20"/>
          <w:szCs w:val="20"/>
          <w:rtl w:val="0"/>
          <w:lang w:val="en-US"/>
        </w:rPr>
        <w:t xml:space="preserve">for each bio-zone). These stories that one learns through media lead to a conversation only a few hours after. Eventually, the urgency and the need to act diminishes, as one rarely relates to the urgency of the matter for the other.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In our collective journey of this ongoing current climate crisis, the design proposal needs to address this very </w:t>
      </w:r>
      <w:r>
        <w:rPr>
          <w:rFonts w:ascii="Public Sans Bold" w:hAnsi="Public Sans Bold" w:hint="default"/>
          <w:i w:val="1"/>
          <w:iCs w:val="1"/>
          <w:sz w:val="20"/>
          <w:szCs w:val="20"/>
          <w:rtl w:val="1"/>
          <w:lang w:val="ar-SA" w:bidi="ar-SA"/>
        </w:rPr>
        <w:t>“</w:t>
      </w:r>
      <w:r>
        <w:rPr>
          <w:rFonts w:ascii="Public Sans Bold" w:hAnsi="Public Sans Bold"/>
          <w:i w:val="1"/>
          <w:iCs w:val="1"/>
          <w:sz w:val="20"/>
          <w:szCs w:val="20"/>
          <w:rtl w:val="0"/>
          <w:lang w:val="en-US"/>
        </w:rPr>
        <w:t>idea of urgency</w:t>
      </w:r>
      <w:r>
        <w:rPr>
          <w:rFonts w:ascii="Public Sans Bold" w:hAnsi="Public Sans Bold" w:hint="default"/>
          <w:i w:val="1"/>
          <w:iCs w:val="1"/>
          <w:sz w:val="20"/>
          <w:szCs w:val="20"/>
          <w:rtl w:val="0"/>
        </w:rPr>
        <w:t xml:space="preserve">” </w:t>
      </w:r>
      <w:r>
        <w:rPr>
          <w:rFonts w:ascii="Public Sans Regular" w:hAnsi="Public Sans Regular"/>
          <w:i w:val="1"/>
          <w:iCs w:val="1"/>
          <w:sz w:val="20"/>
          <w:szCs w:val="20"/>
          <w:rtl w:val="0"/>
          <w:lang w:val="en-US"/>
        </w:rPr>
        <w:t xml:space="preserve">whilst also hinting at a </w:t>
      </w:r>
      <w:r>
        <w:rPr>
          <w:rFonts w:ascii="Public Sans Bold" w:hAnsi="Public Sans Bold"/>
          <w:i w:val="1"/>
          <w:iCs w:val="1"/>
          <w:sz w:val="20"/>
          <w:szCs w:val="20"/>
          <w:rtl w:val="0"/>
          <w:lang w:val="en-US"/>
        </w:rPr>
        <w:t>metabolic and circular future.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Bold" w:hAnsi="Public Sans Bold" w:hint="default"/>
          <w:i w:val="1"/>
          <w:iCs w:val="1"/>
          <w:sz w:val="20"/>
          <w:szCs w:val="20"/>
          <w:rtl w:val="1"/>
          <w:lang w:val="ar-SA" w:bidi="ar-SA"/>
        </w:rPr>
        <w:t>“</w:t>
      </w:r>
      <w:r>
        <w:rPr>
          <w:rFonts w:ascii="Public Sans Bold" w:hAnsi="Public Sans Bold"/>
          <w:i w:val="1"/>
          <w:iCs w:val="1"/>
          <w:sz w:val="20"/>
          <w:szCs w:val="20"/>
          <w:rtl w:val="0"/>
          <w:lang w:val="zh-TW" w:eastAsia="zh-TW"/>
        </w:rPr>
        <w:t>in TIME?</w:t>
      </w:r>
      <w:r>
        <w:rPr>
          <w:rFonts w:ascii="Public Sans Bold" w:hAnsi="Public Sans Bold" w:hint="default"/>
          <w:i w:val="1"/>
          <w:iCs w:val="1"/>
          <w:sz w:val="20"/>
          <w:szCs w:val="20"/>
          <w:rtl w:val="0"/>
        </w:rPr>
        <w:t xml:space="preserve">” </w:t>
      </w:r>
      <w:r>
        <w:rPr>
          <w:rFonts w:ascii="Public Sans Regular" w:hAnsi="Public Sans Regular"/>
          <w:i w:val="1"/>
          <w:iCs w:val="1"/>
          <w:sz w:val="20"/>
          <w:szCs w:val="20"/>
          <w:rtl w:val="0"/>
          <w:lang w:val="en-US"/>
        </w:rPr>
        <w:t xml:space="preserve">is a giant clock for the city of Mannheim, ticking away towards a sustainable future, generating about </w:t>
      </w:r>
      <w:r>
        <w:rPr>
          <w:rFonts w:ascii="Public Sans Bold" w:hAnsi="Public Sans Bold"/>
          <w:i w:val="1"/>
          <w:iCs w:val="1"/>
          <w:sz w:val="24"/>
          <w:szCs w:val="24"/>
          <w:rtl w:val="0"/>
          <w:lang w:val="en-US"/>
        </w:rPr>
        <w:t>1077.6 MWh</w:t>
      </w:r>
      <w:r>
        <w:rPr>
          <w:rFonts w:ascii="Public Sans Regular" w:hAnsi="Public Sans Regular"/>
          <w:i w:val="1"/>
          <w:iCs w:val="1"/>
          <w:sz w:val="20"/>
          <w:szCs w:val="20"/>
          <w:rtl w:val="0"/>
          <w:lang w:val="en-US"/>
        </w:rPr>
        <w:t xml:space="preserve"> of energy annually. Positioned at a cross junction of streets and the existing railway route, the circular form becomes a contrast to the current and proposed landscape.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The public art proposal, made up of Seven Pie-shaped public spaces, represents seven days of a week. Each pie hosts twenty-four columns representing the number of hours in a day. As time passes, the column glows, performing an act that attempts to address the current urgency.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The design of each PIE is primarily a composition of the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ground</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 xml:space="preserve">and the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column cluster</w:t>
      </w:r>
      <w:r>
        <w:rPr>
          <w:rFonts w:ascii="Public Sans Regular" w:hAnsi="Public Sans Regular" w:hint="default"/>
          <w:i w:val="1"/>
          <w:iCs w:val="1"/>
          <w:sz w:val="20"/>
          <w:szCs w:val="20"/>
          <w:rtl w:val="0"/>
        </w:rPr>
        <w:t>”</w:t>
      </w:r>
      <w:r>
        <w:rPr>
          <w:rFonts w:ascii="Public Sans Regular" w:hAnsi="Public Sans Regular"/>
          <w:i w:val="1"/>
          <w:iCs w:val="1"/>
          <w:sz w:val="20"/>
          <w:szCs w:val="20"/>
          <w:rtl w:val="0"/>
          <w:lang w:val="en-US"/>
        </w:rPr>
        <w:t xml:space="preserve">. The design of </w:t>
      </w:r>
      <w:r>
        <w:rPr>
          <w:rFonts w:ascii="Public Sans Regular" w:hAnsi="Public Sans Regular"/>
          <w:i w:val="1"/>
          <w:iCs w:val="1"/>
          <w:sz w:val="20"/>
          <w:szCs w:val="20"/>
          <w:rtl w:val="0"/>
          <w:lang w:val="en-US"/>
        </w:rPr>
        <w:t xml:space="preserve">both the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ground</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 xml:space="preserve">and the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column cluster</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is addressed by local parameters and precedents like that of the existing street composition and incident radiation. The ground is designed using both, abstract and non-abstract compositions, to encourage play and enhance creativity. In some cases, the morphology of the ground addresses a specific functional use case while others do not, allowing the conduct of public interventions.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While each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Hour-column</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 xml:space="preserve">within the column cluster is a global element responding to local conditions due to its parametric design approach. The hour column also acts as the metabolic element within the proposal. It is composed of light cones, solar fins, horticulture pods, vertical gardens, and energy reservoirs in a top to bottom orientation, respectively. There are hundred and sixty-eight,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hour columns</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representing one week.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Primarily incident radiation on the geometry of each pie is calculated for the summer, starting from April to the month of October. The geometry is further optimised algorithmically to maximise its radiation exposure. Twenty-four of the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hour-columns</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are organised in the same geometric pattern for each of these pies. However, the modulations and the resulting variations of the optimised geometry reflect in the differential heights of these columns. The column design remains fixed proportionally.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Bold" w:cs="Public Sans Bold" w:hAnsi="Public Sans Bold" w:eastAsia="Public Sans Bold"/>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Bold" w:cs="Public Sans Bold" w:hAnsi="Public Sans Bold" w:eastAsia="Public Sans Bold"/>
          <w:i w:val="1"/>
          <w:iCs w:val="1"/>
          <w:sz w:val="20"/>
          <w:szCs w:val="20"/>
          <w:rtl w:val="0"/>
        </w:rPr>
      </w:pPr>
      <w:r>
        <w:rPr>
          <w:rFonts w:ascii="Public Sans Bold" w:hAnsi="Public Sans Bold"/>
          <w:i w:val="1"/>
          <w:iCs w:val="1"/>
          <w:sz w:val="20"/>
          <w:szCs w:val="20"/>
          <w:rtl w:val="0"/>
          <w:lang w:val="en-US"/>
        </w:rPr>
        <w:t xml:space="preserve">The Solar Fins </w:t>
      </w:r>
      <w:r>
        <w:rPr>
          <w:rFonts w:ascii="Public Sans Regular" w:hAnsi="Public Sans Regular"/>
          <w:i w:val="1"/>
          <w:iCs w:val="1"/>
          <w:sz w:val="20"/>
          <w:szCs w:val="20"/>
          <w:rtl w:val="0"/>
          <w:lang w:val="en-US"/>
        </w:rPr>
        <w:t>on these columns are made of</w:t>
      </w:r>
      <w:r>
        <w:rPr>
          <w:rFonts w:ascii="Public Sans Bold" w:hAnsi="Public Sans Bold"/>
          <w:i w:val="1"/>
          <w:iCs w:val="1"/>
          <w:sz w:val="20"/>
          <w:szCs w:val="20"/>
          <w:rtl w:val="0"/>
          <w:lang w:val="en-US"/>
        </w:rPr>
        <w:t xml:space="preserve"> Multi-Junction Solar Cells which have a higher conversion efficiency (theoretically C.E. = 86.8%)</w:t>
      </w:r>
      <w:r>
        <w:rPr>
          <w:rFonts w:ascii="Public Sans Regular" w:hAnsi="Public Sans Regular"/>
          <w:i w:val="1"/>
          <w:iCs w:val="1"/>
          <w:sz w:val="20"/>
          <w:szCs w:val="20"/>
          <w:rtl w:val="0"/>
          <w:lang w:val="en-US"/>
        </w:rPr>
        <w:t xml:space="preserve"> than that of traditional photovoltaics (theoretically C.E. = 33.3%)</w:t>
      </w:r>
      <w:r>
        <w:rPr>
          <w:rFonts w:ascii="Public Sans Regular" w:hAnsi="Public Sans Regular"/>
          <w:i w:val="1"/>
          <w:iCs w:val="1"/>
          <w:outline w:val="0"/>
          <w:color w:val="b41700"/>
          <w:position w:val="10"/>
          <w:sz w:val="12"/>
          <w:szCs w:val="12"/>
          <w:rtl w:val="0"/>
          <w:lang w:val="en-US"/>
          <w14:textFill>
            <w14:solidFill>
              <w14:srgbClr w14:val="B51700"/>
            </w14:solidFill>
          </w14:textFill>
        </w:rPr>
        <w:t>(1)</w:t>
      </w:r>
      <w:r>
        <w:rPr>
          <w:rFonts w:ascii="Public Sans Regular" w:hAnsi="Public Sans Regular"/>
          <w:i w:val="1"/>
          <w:iCs w:val="1"/>
          <w:sz w:val="20"/>
          <w:szCs w:val="20"/>
          <w:rtl w:val="0"/>
          <w:lang w:val="en-US"/>
        </w:rPr>
        <w:t xml:space="preserve">. However, for the energy production calculation for this proposal, the conversion efficiency is assumed to be 42.5% to reflect a real-life scenario.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The ground</w:t>
      </w:r>
      <w:r>
        <w:rPr>
          <w:rFonts w:ascii="Public Sans Regular" w:hAnsi="Public Sans Regular" w:hint="default"/>
          <w:i w:val="1"/>
          <w:iCs w:val="1"/>
          <w:sz w:val="20"/>
          <w:szCs w:val="20"/>
          <w:rtl w:val="0"/>
        </w:rPr>
        <w:t xml:space="preserve">” </w:t>
      </w:r>
      <w:r>
        <w:rPr>
          <w:rFonts w:ascii="Public Sans Regular" w:hAnsi="Public Sans Regular"/>
          <w:i w:val="1"/>
          <w:iCs w:val="1"/>
          <w:sz w:val="20"/>
          <w:szCs w:val="20"/>
          <w:rtl w:val="0"/>
          <w:lang w:val="en-US"/>
        </w:rPr>
        <w:t>houses energy reservoirs and their connections with the city grid.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On calculating 42.5% of annual incident radiation, the proposal is </w:t>
      </w:r>
      <w:r>
        <w:rPr>
          <w:rFonts w:ascii="Public Sans Regular" w:hAnsi="Public Sans Regular"/>
          <w:i w:val="1"/>
          <w:iCs w:val="1"/>
          <w:sz w:val="20"/>
          <w:szCs w:val="20"/>
          <w:rtl w:val="0"/>
          <w:lang w:val="en-US"/>
        </w:rPr>
        <w:t>set to</w:t>
      </w:r>
      <w:r>
        <w:rPr>
          <w:rFonts w:ascii="Public Sans Regular" w:hAnsi="Public Sans Regular"/>
          <w:i w:val="1"/>
          <w:iCs w:val="1"/>
          <w:sz w:val="20"/>
          <w:szCs w:val="20"/>
          <w:rtl w:val="0"/>
          <w:lang w:val="en-US"/>
        </w:rPr>
        <w:t xml:space="preserve"> generate 1077.6MWh. Each Pie has a significant contribution with Pie 1 at about 14.67%, Pie 2 at 16.38%, Pie 3 at 15.08%, Pie 4 at 11.64%, Pie 5 at 14.72%, Pie 6 at 11.50%, and Pie 7 at 15.97%. About 67% of the total energy produced is directed towards the city grid, supporting approximate 200 households based on the average household consumption of 3500kWH</w:t>
      </w:r>
      <w:r>
        <w:rPr>
          <w:rFonts w:ascii="Public Sans Bold" w:hAnsi="Public Sans Bold"/>
          <w:i w:val="0"/>
          <w:iCs w:val="0"/>
          <w:outline w:val="0"/>
          <w:color w:val="b41700"/>
          <w:position w:val="10"/>
          <w:sz w:val="12"/>
          <w:szCs w:val="12"/>
          <w:rtl w:val="0"/>
          <w:lang w:val="en-US"/>
          <w14:textFill>
            <w14:solidFill>
              <w14:srgbClr w14:val="B51700"/>
            </w14:solidFill>
          </w14:textFill>
        </w:rPr>
        <w:t>(2)</w:t>
      </w:r>
      <w:r>
        <w:rPr>
          <w:rFonts w:ascii="Public Sans Regular" w:hAnsi="Public Sans Regular"/>
          <w:i w:val="1"/>
          <w:iCs w:val="1"/>
          <w:sz w:val="20"/>
          <w:szCs w:val="20"/>
          <w:rtl w:val="0"/>
          <w:lang w:val="en-US"/>
        </w:rPr>
        <w:t>, and the remaining 43% is utilised by the proposal itself.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However, partially filtered wastewater is drawn from the city grid for the maintenance of vertical gardens and to aid the process of plantation growth from seed to the sapling stage, housed within the horticulture pods. Of the 43% of self-utilised energy, 28% is utilised for vertical farming processes, 11% for the rotatory motion of (Solar)Sub-Fins on activation, and a mere 4% for lamps.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Bold" w:hAnsi="Public Sans Bold" w:hint="default"/>
          <w:i w:val="1"/>
          <w:iCs w:val="1"/>
          <w:sz w:val="20"/>
          <w:szCs w:val="20"/>
          <w:rtl w:val="1"/>
          <w:lang w:val="ar-SA" w:bidi="ar-SA"/>
        </w:rPr>
        <w:t>“</w:t>
      </w:r>
      <w:r>
        <w:rPr>
          <w:rFonts w:ascii="Public Sans Bold" w:hAnsi="Public Sans Bold"/>
          <w:i w:val="1"/>
          <w:iCs w:val="1"/>
          <w:sz w:val="20"/>
          <w:szCs w:val="20"/>
          <w:rtl w:val="0"/>
          <w:lang w:val="zh-TW" w:eastAsia="zh-TW"/>
        </w:rPr>
        <w:t>in TIME?</w:t>
      </w:r>
      <w:r>
        <w:rPr>
          <w:rFonts w:ascii="Public Sans Bold" w:hAnsi="Public Sans Bold" w:hint="default"/>
          <w:i w:val="1"/>
          <w:iCs w:val="1"/>
          <w:sz w:val="20"/>
          <w:szCs w:val="20"/>
          <w:rtl w:val="0"/>
        </w:rPr>
        <w:t>”</w:t>
      </w:r>
      <w:r>
        <w:rPr>
          <w:rFonts w:ascii="Public Sans Regular" w:hAnsi="Public Sans Regular"/>
          <w:i w:val="1"/>
          <w:iCs w:val="1"/>
          <w:sz w:val="20"/>
          <w:szCs w:val="20"/>
          <w:rtl w:val="0"/>
          <w:lang w:val="en-US"/>
        </w:rPr>
        <w:t xml:space="preserve"> promotes and emphasises Sustainable Development Goals,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it-IT"/>
        </w:rPr>
        <w:t xml:space="preserve">Goal 13. </w:t>
      </w:r>
      <w:r>
        <w:rPr>
          <w:rFonts w:ascii="Public Sans Regular" w:hAnsi="Public Sans Regular" w:hint="default"/>
          <w:i w:val="1"/>
          <w:iCs w:val="1"/>
          <w:sz w:val="20"/>
          <w:szCs w:val="20"/>
          <w:rtl w:val="1"/>
          <w:lang w:val="ar-SA" w:bidi="ar-SA"/>
        </w:rPr>
        <w:t>“</w:t>
      </w:r>
      <w:r>
        <w:rPr>
          <w:rFonts w:ascii="Public Sans Regular" w:hAnsi="Public Sans Regular"/>
          <w:i w:val="1"/>
          <w:iCs w:val="1"/>
          <w:sz w:val="20"/>
          <w:szCs w:val="20"/>
          <w:rtl w:val="0"/>
          <w:lang w:val="en-US"/>
        </w:rPr>
        <w:t>Take urgent action to combat climate change and its impacts</w:t>
      </w:r>
      <w:r>
        <w:rPr>
          <w:rFonts w:ascii="Public Sans Regular" w:hAnsi="Public Sans Regular" w:hint="default"/>
          <w:i w:val="1"/>
          <w:iCs w:val="1"/>
          <w:sz w:val="20"/>
          <w:szCs w:val="20"/>
          <w:rtl w:val="0"/>
        </w:rPr>
        <w:t>”</w:t>
      </w:r>
      <w:r>
        <w:rPr>
          <w:rFonts w:ascii="Public Sans Regular" w:hAnsi="Public Sans Regular"/>
          <w:i w:val="1"/>
          <w:iCs w:val="1"/>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Whilst addressing and reflecting upon</w:t>
      </w:r>
      <w:r>
        <w:rPr>
          <w:rFonts w:ascii="Public Sans Regular" w:hAnsi="Public Sans Regular"/>
          <w:i w:val="1"/>
          <w:iCs w:val="1"/>
          <w:sz w:val="20"/>
          <w:szCs w:val="20"/>
          <w:rtl w:val="0"/>
          <w:lang w:val="en-US"/>
        </w:rPr>
        <w:t xml:space="preserve">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Goal 3. Ensure healthy lives and promote well-being for all at all ages.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 xml:space="preserve">Goal 7. Ensure access to affordable, reliable, sustainable and modern energy for 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Goal 12. Ensure sustainable consumption and production patterns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r>
        <w:rPr>
          <w:rFonts w:ascii="Public Sans Regular" w:hAnsi="Public Sans Regular"/>
          <w:i w:val="1"/>
          <w:iCs w:val="1"/>
          <w:sz w:val="20"/>
          <w:szCs w:val="20"/>
          <w:rtl w:val="0"/>
          <w:lang w:val="en-US"/>
        </w:rPr>
        <w:t>However, the proposal demands the urgency to act now towards creating metabolic processes as systems and their deep integration within our lives to be sustainable on our spaceship earth and is just one small step towards that goal.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14"/>
          <w:szCs w:val="14"/>
          <w:rtl w:val="0"/>
        </w:rPr>
      </w:pPr>
      <w:r>
        <w:rPr>
          <w:rFonts w:ascii="Public Sans Regular" w:hAnsi="Public Sans Regular"/>
          <w:i w:val="1"/>
          <w:iCs w:val="1"/>
          <w:sz w:val="14"/>
          <w:szCs w:val="14"/>
          <w:rtl w:val="0"/>
          <w:lang w:val="en-US"/>
        </w:rPr>
        <w:t>References: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14"/>
          <w:szCs w:val="1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Fonts w:ascii="Public Sans Regular" w:cs="Public Sans Regular" w:hAnsi="Public Sans Regular" w:eastAsia="Public Sans Regular"/>
          <w:i w:val="1"/>
          <w:iCs w:val="1"/>
          <w:sz w:val="14"/>
          <w:szCs w:val="14"/>
          <w:rtl w:val="0"/>
        </w:rPr>
      </w:pPr>
      <w:r>
        <w:rPr>
          <w:rFonts w:ascii="Public Sans Regular" w:hAnsi="Public Sans Regular"/>
          <w:i w:val="1"/>
          <w:iCs w:val="1"/>
          <w:sz w:val="14"/>
          <w:szCs w:val="14"/>
          <w:rtl w:val="0"/>
          <w:lang w:val="en-US"/>
        </w:rPr>
        <w:t>1.</w:t>
      </w:r>
      <w:r>
        <w:rPr>
          <w:rStyle w:val="Hyperlink.0"/>
          <w:rFonts w:ascii="Public Sans Regular" w:cs="Public Sans Regular" w:hAnsi="Public Sans Regular" w:eastAsia="Public Sans Regular"/>
          <w:i w:val="1"/>
          <w:iCs w:val="1"/>
          <w:sz w:val="14"/>
          <w:szCs w:val="14"/>
          <w:rtl w:val="0"/>
        </w:rPr>
        <w:fldChar w:fldCharType="begin" w:fldLock="0"/>
      </w:r>
      <w:r>
        <w:rPr>
          <w:rStyle w:val="Hyperlink.0"/>
          <w:rFonts w:ascii="Public Sans Regular" w:cs="Public Sans Regular" w:hAnsi="Public Sans Regular" w:eastAsia="Public Sans Regular"/>
          <w:i w:val="1"/>
          <w:iCs w:val="1"/>
          <w:sz w:val="14"/>
          <w:szCs w:val="14"/>
          <w:rtl w:val="0"/>
        </w:rPr>
        <w:instrText xml:space="preserve"> HYPERLINK "https://en.wikipedia.org/wiki/Multi-junction_solar_cell"</w:instrText>
      </w:r>
      <w:r>
        <w:rPr>
          <w:rStyle w:val="Hyperlink.0"/>
          <w:rFonts w:ascii="Public Sans Regular" w:cs="Public Sans Regular" w:hAnsi="Public Sans Regular" w:eastAsia="Public Sans Regular"/>
          <w:i w:val="1"/>
          <w:iCs w:val="1"/>
          <w:sz w:val="14"/>
          <w:szCs w:val="14"/>
          <w:rtl w:val="0"/>
        </w:rPr>
        <w:fldChar w:fldCharType="separate" w:fldLock="0"/>
      </w:r>
      <w:r>
        <w:rPr>
          <w:rStyle w:val="Hyperlink.0"/>
          <w:rFonts w:ascii="Public Sans Regular" w:hAnsi="Public Sans Regular"/>
          <w:i w:val="1"/>
          <w:iCs w:val="1"/>
          <w:sz w:val="14"/>
          <w:szCs w:val="14"/>
          <w:rtl w:val="0"/>
          <w:lang w:val="en-US"/>
        </w:rPr>
        <w:t>https://en.wikipedia.org/wiki/Multi-junction_solar_cell</w:t>
      </w:r>
      <w:r>
        <w:rPr>
          <w:rFonts w:ascii="Public Sans Regular" w:cs="Public Sans Regular" w:hAnsi="Public Sans Regular" w:eastAsia="Public Sans Regular"/>
          <w:i w:val="1"/>
          <w:iCs w:val="1"/>
          <w:sz w:val="14"/>
          <w:szCs w:val="14"/>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both"/>
        <w:rPr>
          <w:rtl w:val="0"/>
        </w:rPr>
      </w:pPr>
      <w:r>
        <w:rPr>
          <w:rFonts w:ascii="Public Sans Regular" w:hAnsi="Public Sans Regular"/>
          <w:i w:val="1"/>
          <w:iCs w:val="1"/>
          <w:sz w:val="14"/>
          <w:szCs w:val="14"/>
          <w:rtl w:val="0"/>
          <w:lang w:val="en-US"/>
        </w:rPr>
        <w:t>2.</w:t>
      </w:r>
      <w:r>
        <w:rPr>
          <w:rStyle w:val="Hyperlink.0"/>
          <w:rFonts w:ascii="Public Sans Regular" w:cs="Public Sans Regular" w:hAnsi="Public Sans Regular" w:eastAsia="Public Sans Regular"/>
          <w:i w:val="1"/>
          <w:iCs w:val="1"/>
          <w:sz w:val="14"/>
          <w:szCs w:val="14"/>
          <w:rtl w:val="0"/>
        </w:rPr>
        <w:fldChar w:fldCharType="begin" w:fldLock="0"/>
      </w:r>
      <w:r>
        <w:rPr>
          <w:rStyle w:val="Hyperlink.0"/>
          <w:rFonts w:ascii="Public Sans Regular" w:cs="Public Sans Regular" w:hAnsi="Public Sans Regular" w:eastAsia="Public Sans Regular"/>
          <w:i w:val="1"/>
          <w:iCs w:val="1"/>
          <w:sz w:val="14"/>
          <w:szCs w:val="14"/>
          <w:rtl w:val="0"/>
        </w:rPr>
        <w:instrText xml:space="preserve"> HYPERLINK "https://www.iamexpat.de/housing/real-estate-news/energy-consumption-germany-falling-prices-continue-rise"</w:instrText>
      </w:r>
      <w:r>
        <w:rPr>
          <w:rStyle w:val="Hyperlink.0"/>
          <w:rFonts w:ascii="Public Sans Regular" w:cs="Public Sans Regular" w:hAnsi="Public Sans Regular" w:eastAsia="Public Sans Regular"/>
          <w:i w:val="1"/>
          <w:iCs w:val="1"/>
          <w:sz w:val="14"/>
          <w:szCs w:val="14"/>
          <w:rtl w:val="0"/>
        </w:rPr>
        <w:fldChar w:fldCharType="separate" w:fldLock="0"/>
      </w:r>
      <w:r>
        <w:rPr>
          <w:rStyle w:val="Hyperlink.0"/>
          <w:rFonts w:ascii="Public Sans Regular" w:hAnsi="Public Sans Regular"/>
          <w:i w:val="1"/>
          <w:iCs w:val="1"/>
          <w:sz w:val="14"/>
          <w:szCs w:val="14"/>
          <w:rtl w:val="0"/>
          <w:lang w:val="en-US"/>
        </w:rPr>
        <w:t>https://www.iamexpat.de/housing/real-estate-news/energy-consumption-germany-falling-prices-continue-rise</w:t>
      </w:r>
      <w:r>
        <w:rPr>
          <w:rFonts w:ascii="Public Sans Regular" w:cs="Public Sans Regular" w:hAnsi="Public Sans Regular" w:eastAsia="Public Sans Regular"/>
          <w:i w:val="1"/>
          <w:iCs w:val="1"/>
          <w:sz w:val="14"/>
          <w:szCs w:val="14"/>
          <w:rtl w:val="0"/>
        </w:rPr>
        <w:fldChar w:fldCharType="end" w:fldLock="0"/>
      </w:r>
      <w:r>
        <w:rPr>
          <w:rFonts w:ascii="Public Sans Regular" w:hAnsi="Public Sans Regular"/>
          <w:i w:val="1"/>
          <w:iCs w:val="1"/>
          <w:sz w:val="14"/>
          <w:szCs w:val="14"/>
          <w:rtl w:val="0"/>
          <w:lang w:val="en-US"/>
        </w:rPr>
        <w:t xml:space="preserve"> </w:t>
      </w:r>
    </w:p>
    <w:sectPr>
      <w:headerReference w:type="default" r:id="rId4"/>
      <w:footerReference w:type="default" r:id="rId5"/>
      <w:pgSz w:w="11906" w:h="16838"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ublic Sans Regular">
    <w:charset w:val="00"/>
    <w:family w:val="roman"/>
    <w:pitch w:val="default"/>
  </w:font>
  <w:font w:name="Public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