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65B8" w:rsidRDefault="006076B5" w:rsidP="006076B5">
      <w:pPr>
        <w:jc w:val="center"/>
        <w:rPr>
          <w:b/>
          <w:bCs/>
        </w:rPr>
      </w:pPr>
      <w:r w:rsidRPr="006076B5">
        <w:rPr>
          <w:rFonts w:hint="eastAsia"/>
          <w:b/>
          <w:bCs/>
        </w:rPr>
        <w:t>Flowers bloom all the way</w:t>
      </w:r>
    </w:p>
    <w:p w:rsidR="00525795" w:rsidRPr="00525795" w:rsidRDefault="00525795" w:rsidP="00525795">
      <w:r>
        <w:rPr>
          <w:rFonts w:hint="eastAsia"/>
        </w:rPr>
        <w:t>1</w:t>
      </w:r>
      <w:r w:rsidRPr="00525795">
        <w:t>. Design concept</w:t>
      </w:r>
    </w:p>
    <w:p w:rsidR="00525795" w:rsidRDefault="00525795" w:rsidP="00525795">
      <w:r w:rsidRPr="00525795">
        <w:t xml:space="preserve">The design inspiration comes from the characteristic of plants facing the sun, and the shape is taken from the shape of flowers. The bottom is based on circular steel pipes, and the upper part is made of solar glass panels. Multiple modular panels can be spliced together to form a solar rest area. The top of the device is designed with rainwater collection holes. Rainwater can flow into the storage device through a perforated metal slag cover, a central support column, and be filtered, disinfected, and purified for human use. In order to improve the accessibility of the equipment, a tourist route has been planned within the design area, combining multiple rest areas to provide a close-up experience and rest. While solving practical energy problems, it also promotes the development of tourism resources. In addition, considering the convenience of using local connecting ships, a ship dock will be added outside the design area to address the docking function of large ships </w:t>
      </w:r>
      <w:proofErr w:type="gramStart"/>
      <w:r w:rsidRPr="00525795">
        <w:t>In</w:t>
      </w:r>
      <w:proofErr w:type="gramEnd"/>
      <w:r w:rsidRPr="00525795">
        <w:t xml:space="preserve"> addition, the dock has also added seawater desalination equipment to produce fresh water using abundant seawater resources.</w:t>
      </w:r>
    </w:p>
    <w:p w:rsidR="00C430C0" w:rsidRPr="00525795" w:rsidRDefault="00C430C0" w:rsidP="00525795"/>
    <w:p w:rsidR="00525795" w:rsidRDefault="00525795" w:rsidP="00525795">
      <w:pPr>
        <w:rPr>
          <w:rFonts w:hint="eastAsia"/>
        </w:rPr>
      </w:pPr>
      <w:r>
        <w:rPr>
          <w:rFonts w:hint="eastAsia"/>
        </w:rPr>
        <w:t>2、 Technical data</w:t>
      </w:r>
    </w:p>
    <w:p w:rsidR="006076B5" w:rsidRDefault="00525795" w:rsidP="00525795">
      <w:r>
        <w:rPr>
          <w:rFonts w:hint="eastAsia"/>
        </w:rPr>
        <w:t>This device takes solving local practical problems as its starting point and mainly aims at solar power generation and freshwater collection. The device imitates the shape of a flower, with a bottom made of ø 120MM steel pipe to ensure hygiene for later use, and a SU304 stainless steel conduit added in the center. The top is composed of three quadrilateral tempered glass monocrystalline silicon solar modules, which are spliced into a large hexagon to efficiently convert electrical energy. Every ten devices are equipped with one storage battery to meet the nighttime electricity demand of the village.</w:t>
      </w:r>
    </w:p>
    <w:tbl>
      <w:tblPr>
        <w:tblStyle w:val="ae"/>
        <w:tblW w:w="0" w:type="auto"/>
        <w:jc w:val="center"/>
        <w:tblLook w:val="04A0" w:firstRow="1" w:lastRow="0" w:firstColumn="1" w:lastColumn="0" w:noHBand="0" w:noVBand="1"/>
      </w:tblPr>
      <w:tblGrid>
        <w:gridCol w:w="4101"/>
        <w:gridCol w:w="1423"/>
        <w:gridCol w:w="2492"/>
        <w:gridCol w:w="2416"/>
      </w:tblGrid>
      <w:tr w:rsidR="00525795" w:rsidRPr="002856BB" w:rsidTr="00525795">
        <w:trPr>
          <w:trHeight w:val="392"/>
          <w:jc w:val="center"/>
        </w:trPr>
        <w:tc>
          <w:tcPr>
            <w:tcW w:w="4101" w:type="dxa"/>
          </w:tcPr>
          <w:p w:rsidR="00525795" w:rsidRPr="002856BB" w:rsidRDefault="00525795" w:rsidP="00AB1773">
            <w:pPr>
              <w:jc w:val="center"/>
              <w:rPr>
                <w:rFonts w:hint="eastAsia"/>
                <w:sz w:val="20"/>
                <w:szCs w:val="20"/>
              </w:rPr>
            </w:pPr>
            <w:r w:rsidRPr="00525795">
              <w:rPr>
                <w:sz w:val="20"/>
                <w:szCs w:val="20"/>
              </w:rPr>
              <w:t>Single crystal solar panel</w:t>
            </w:r>
          </w:p>
        </w:tc>
        <w:tc>
          <w:tcPr>
            <w:tcW w:w="1423" w:type="dxa"/>
          </w:tcPr>
          <w:p w:rsidR="00525795" w:rsidRPr="002856BB" w:rsidRDefault="00525795" w:rsidP="00AB1773">
            <w:pPr>
              <w:jc w:val="center"/>
              <w:rPr>
                <w:rFonts w:hint="eastAsia"/>
                <w:sz w:val="20"/>
                <w:szCs w:val="20"/>
              </w:rPr>
            </w:pPr>
            <w:r w:rsidRPr="00525795">
              <w:rPr>
                <w:sz w:val="20"/>
                <w:szCs w:val="20"/>
              </w:rPr>
              <w:t>Single area</w:t>
            </w:r>
            <w:r>
              <w:rPr>
                <w:rFonts w:hint="eastAsia"/>
                <w:sz w:val="20"/>
                <w:szCs w:val="20"/>
              </w:rPr>
              <w:t>（</w:t>
            </w:r>
            <w:r>
              <w:rPr>
                <w:rFonts w:hint="eastAsia"/>
                <w:sz w:val="20"/>
                <w:szCs w:val="20"/>
              </w:rPr>
              <w:t>M</w:t>
            </w:r>
            <w:r w:rsidRPr="002856BB">
              <w:rPr>
                <w:rFonts w:hint="eastAsia"/>
                <w:sz w:val="20"/>
                <w:szCs w:val="20"/>
                <w:vertAlign w:val="superscript"/>
              </w:rPr>
              <w:t>2</w:t>
            </w:r>
            <w:r>
              <w:rPr>
                <w:sz w:val="20"/>
                <w:szCs w:val="20"/>
              </w:rPr>
              <w:t>）</w:t>
            </w:r>
          </w:p>
        </w:tc>
        <w:tc>
          <w:tcPr>
            <w:tcW w:w="2492" w:type="dxa"/>
          </w:tcPr>
          <w:p w:rsidR="00525795" w:rsidRPr="002856BB" w:rsidRDefault="00525795" w:rsidP="00AB1773">
            <w:pPr>
              <w:jc w:val="center"/>
              <w:rPr>
                <w:rFonts w:hint="eastAsia"/>
                <w:sz w:val="20"/>
                <w:szCs w:val="20"/>
              </w:rPr>
            </w:pPr>
            <w:r w:rsidRPr="00525795">
              <w:rPr>
                <w:sz w:val="20"/>
                <w:szCs w:val="20"/>
              </w:rPr>
              <w:t>quantity</w:t>
            </w:r>
          </w:p>
        </w:tc>
        <w:tc>
          <w:tcPr>
            <w:tcW w:w="2416" w:type="dxa"/>
          </w:tcPr>
          <w:p w:rsidR="00525795" w:rsidRPr="002856BB" w:rsidRDefault="00525795" w:rsidP="00AB1773">
            <w:pPr>
              <w:jc w:val="center"/>
              <w:rPr>
                <w:rFonts w:hint="eastAsia"/>
                <w:sz w:val="20"/>
                <w:szCs w:val="20"/>
              </w:rPr>
            </w:pPr>
            <w:r w:rsidRPr="00525795">
              <w:rPr>
                <w:sz w:val="20"/>
                <w:szCs w:val="20"/>
              </w:rPr>
              <w:t xml:space="preserve">Quantity of electricity generation </w:t>
            </w:r>
            <w:r>
              <w:rPr>
                <w:rFonts w:hint="eastAsia"/>
                <w:sz w:val="20"/>
                <w:szCs w:val="20"/>
              </w:rPr>
              <w:t>（</w:t>
            </w:r>
            <w:r w:rsidRPr="002856BB">
              <w:rPr>
                <w:rFonts w:hint="eastAsia"/>
                <w:sz w:val="20"/>
                <w:szCs w:val="20"/>
              </w:rPr>
              <w:t>MWh</w:t>
            </w:r>
            <w:r w:rsidRPr="002856BB">
              <w:rPr>
                <w:sz w:val="20"/>
                <w:szCs w:val="20"/>
              </w:rPr>
              <w:t>）</w:t>
            </w:r>
          </w:p>
        </w:tc>
      </w:tr>
      <w:tr w:rsidR="00525795" w:rsidRPr="002856BB" w:rsidTr="00525795">
        <w:trPr>
          <w:trHeight w:val="689"/>
          <w:jc w:val="center"/>
        </w:trPr>
        <w:tc>
          <w:tcPr>
            <w:tcW w:w="4101" w:type="dxa"/>
            <w:vMerge w:val="restart"/>
            <w:vAlign w:val="center"/>
          </w:tcPr>
          <w:p w:rsidR="00525795" w:rsidRPr="002856BB" w:rsidRDefault="00525795" w:rsidP="00AB1773">
            <w:pPr>
              <w:jc w:val="center"/>
              <w:rPr>
                <w:rFonts w:hint="eastAsia"/>
                <w:sz w:val="20"/>
                <w:szCs w:val="20"/>
              </w:rPr>
            </w:pPr>
          </w:p>
        </w:tc>
        <w:tc>
          <w:tcPr>
            <w:tcW w:w="1423" w:type="dxa"/>
            <w:vMerge w:val="restart"/>
            <w:vAlign w:val="center"/>
          </w:tcPr>
          <w:p w:rsidR="00525795" w:rsidRPr="002856BB" w:rsidRDefault="00525795" w:rsidP="00AB1773">
            <w:pPr>
              <w:jc w:val="center"/>
              <w:rPr>
                <w:rFonts w:hint="eastAsia"/>
                <w:sz w:val="20"/>
                <w:szCs w:val="20"/>
              </w:rPr>
            </w:pPr>
            <w:r>
              <w:rPr>
                <w:rFonts w:hint="eastAsia"/>
                <w:sz w:val="20"/>
                <w:szCs w:val="20"/>
              </w:rPr>
              <w:t>6.75</w:t>
            </w:r>
          </w:p>
        </w:tc>
        <w:tc>
          <w:tcPr>
            <w:tcW w:w="2492" w:type="dxa"/>
            <w:vAlign w:val="center"/>
          </w:tcPr>
          <w:p w:rsidR="00525795" w:rsidRPr="002856BB" w:rsidRDefault="00525795" w:rsidP="00AB1773">
            <w:pPr>
              <w:jc w:val="center"/>
              <w:rPr>
                <w:rFonts w:hint="eastAsia"/>
                <w:sz w:val="20"/>
                <w:szCs w:val="20"/>
              </w:rPr>
            </w:pPr>
            <w:r w:rsidRPr="00525795">
              <w:rPr>
                <w:sz w:val="20"/>
                <w:szCs w:val="20"/>
              </w:rPr>
              <w:t>Scope: 95 (can be flexibly increased or decreased according to demand)</w:t>
            </w:r>
          </w:p>
        </w:tc>
        <w:tc>
          <w:tcPr>
            <w:tcW w:w="2416" w:type="dxa"/>
            <w:vAlign w:val="center"/>
          </w:tcPr>
          <w:p w:rsidR="00525795" w:rsidRPr="002856BB" w:rsidRDefault="00525795" w:rsidP="00AB1773">
            <w:pPr>
              <w:jc w:val="center"/>
              <w:rPr>
                <w:rFonts w:hint="eastAsia"/>
                <w:sz w:val="20"/>
                <w:szCs w:val="20"/>
              </w:rPr>
            </w:pPr>
            <w:r>
              <w:rPr>
                <w:rFonts w:hint="eastAsia"/>
                <w:sz w:val="20"/>
                <w:szCs w:val="20"/>
              </w:rPr>
              <w:t>0.1MWh</w:t>
            </w:r>
          </w:p>
        </w:tc>
      </w:tr>
      <w:tr w:rsidR="00525795" w:rsidRPr="002856BB" w:rsidTr="00525795">
        <w:trPr>
          <w:trHeight w:val="689"/>
          <w:jc w:val="center"/>
        </w:trPr>
        <w:tc>
          <w:tcPr>
            <w:tcW w:w="4101" w:type="dxa"/>
            <w:vMerge/>
            <w:vAlign w:val="center"/>
          </w:tcPr>
          <w:p w:rsidR="00525795" w:rsidRDefault="00525795" w:rsidP="00AB1773">
            <w:pPr>
              <w:jc w:val="center"/>
              <w:rPr>
                <w:rFonts w:hint="eastAsia"/>
                <w:sz w:val="20"/>
                <w:szCs w:val="20"/>
              </w:rPr>
            </w:pPr>
          </w:p>
        </w:tc>
        <w:tc>
          <w:tcPr>
            <w:tcW w:w="1423" w:type="dxa"/>
            <w:vMerge/>
            <w:vAlign w:val="center"/>
          </w:tcPr>
          <w:p w:rsidR="00525795" w:rsidRDefault="00525795" w:rsidP="00AB1773">
            <w:pPr>
              <w:jc w:val="center"/>
              <w:rPr>
                <w:rFonts w:hint="eastAsia"/>
                <w:sz w:val="20"/>
                <w:szCs w:val="20"/>
              </w:rPr>
            </w:pPr>
          </w:p>
        </w:tc>
        <w:tc>
          <w:tcPr>
            <w:tcW w:w="2492" w:type="dxa"/>
            <w:vAlign w:val="center"/>
          </w:tcPr>
          <w:p w:rsidR="00525795" w:rsidRPr="002856BB" w:rsidRDefault="00525795" w:rsidP="00AB1773">
            <w:pPr>
              <w:jc w:val="center"/>
              <w:rPr>
                <w:rFonts w:hint="eastAsia"/>
                <w:sz w:val="20"/>
                <w:szCs w:val="20"/>
              </w:rPr>
            </w:pPr>
            <w:r w:rsidRPr="00525795">
              <w:rPr>
                <w:sz w:val="20"/>
                <w:szCs w:val="20"/>
              </w:rPr>
              <w:t>Out of range: 50</w:t>
            </w:r>
          </w:p>
        </w:tc>
        <w:tc>
          <w:tcPr>
            <w:tcW w:w="2416" w:type="dxa"/>
            <w:vAlign w:val="center"/>
          </w:tcPr>
          <w:p w:rsidR="00525795" w:rsidRPr="002856BB" w:rsidRDefault="00525795" w:rsidP="00AB1773">
            <w:pPr>
              <w:jc w:val="center"/>
              <w:rPr>
                <w:rFonts w:hint="eastAsia"/>
                <w:sz w:val="20"/>
                <w:szCs w:val="20"/>
              </w:rPr>
            </w:pPr>
            <w:r>
              <w:rPr>
                <w:rFonts w:hint="eastAsia"/>
                <w:sz w:val="20"/>
                <w:szCs w:val="20"/>
              </w:rPr>
              <w:t>0.05 MWh</w:t>
            </w:r>
          </w:p>
        </w:tc>
      </w:tr>
    </w:tbl>
    <w:p w:rsidR="00525795" w:rsidRDefault="009B01A2" w:rsidP="00525795">
      <w:pPr>
        <w:jc w:val="right"/>
        <w:rPr>
          <w:sz w:val="20"/>
          <w:szCs w:val="20"/>
        </w:rPr>
      </w:pPr>
      <w:r w:rsidRPr="009B01A2">
        <w:rPr>
          <w:sz w:val="20"/>
          <w:szCs w:val="20"/>
        </w:rPr>
        <w:t>*Chart calculated based on 1-hour power generation</w:t>
      </w:r>
    </w:p>
    <w:p w:rsidR="00C430C0" w:rsidRDefault="00C430C0" w:rsidP="00525795">
      <w:pPr>
        <w:jc w:val="right"/>
        <w:rPr>
          <w:sz w:val="20"/>
          <w:szCs w:val="20"/>
        </w:rPr>
      </w:pPr>
    </w:p>
    <w:tbl>
      <w:tblPr>
        <w:tblStyle w:val="ae"/>
        <w:tblW w:w="10432" w:type="dxa"/>
        <w:jc w:val="center"/>
        <w:tblLook w:val="04A0" w:firstRow="1" w:lastRow="0" w:firstColumn="1" w:lastColumn="0" w:noHBand="0" w:noVBand="1"/>
      </w:tblPr>
      <w:tblGrid>
        <w:gridCol w:w="4101"/>
        <w:gridCol w:w="1423"/>
        <w:gridCol w:w="2492"/>
        <w:gridCol w:w="2416"/>
      </w:tblGrid>
      <w:tr w:rsidR="00C430C0" w:rsidRPr="002856BB" w:rsidTr="00C430C0">
        <w:trPr>
          <w:trHeight w:val="392"/>
          <w:jc w:val="center"/>
        </w:trPr>
        <w:tc>
          <w:tcPr>
            <w:tcW w:w="4101" w:type="dxa"/>
          </w:tcPr>
          <w:p w:rsidR="00C430C0" w:rsidRPr="002856BB" w:rsidRDefault="00C430C0" w:rsidP="00C430C0">
            <w:pPr>
              <w:jc w:val="center"/>
              <w:rPr>
                <w:rFonts w:hint="eastAsia"/>
                <w:sz w:val="20"/>
                <w:szCs w:val="20"/>
              </w:rPr>
            </w:pPr>
            <w:r w:rsidRPr="00C430C0">
              <w:rPr>
                <w:sz w:val="20"/>
                <w:szCs w:val="20"/>
              </w:rPr>
              <w:t>Rainwater collection system</w:t>
            </w:r>
          </w:p>
        </w:tc>
        <w:tc>
          <w:tcPr>
            <w:tcW w:w="1423" w:type="dxa"/>
          </w:tcPr>
          <w:p w:rsidR="00C430C0" w:rsidRPr="002856BB" w:rsidRDefault="00C430C0" w:rsidP="00C430C0">
            <w:pPr>
              <w:jc w:val="center"/>
              <w:rPr>
                <w:rFonts w:hint="eastAsia"/>
                <w:sz w:val="20"/>
                <w:szCs w:val="20"/>
              </w:rPr>
            </w:pPr>
            <w:r w:rsidRPr="00525795">
              <w:rPr>
                <w:sz w:val="20"/>
                <w:szCs w:val="20"/>
              </w:rPr>
              <w:t>Single area</w:t>
            </w:r>
            <w:r>
              <w:rPr>
                <w:rFonts w:hint="eastAsia"/>
                <w:sz w:val="20"/>
                <w:szCs w:val="20"/>
              </w:rPr>
              <w:t>（M</w:t>
            </w:r>
            <w:r w:rsidRPr="002856BB">
              <w:rPr>
                <w:rFonts w:hint="eastAsia"/>
                <w:sz w:val="20"/>
                <w:szCs w:val="20"/>
                <w:vertAlign w:val="superscript"/>
              </w:rPr>
              <w:t>2</w:t>
            </w:r>
            <w:r>
              <w:rPr>
                <w:sz w:val="20"/>
                <w:szCs w:val="20"/>
              </w:rPr>
              <w:t>）</w:t>
            </w:r>
          </w:p>
        </w:tc>
        <w:tc>
          <w:tcPr>
            <w:tcW w:w="2492" w:type="dxa"/>
          </w:tcPr>
          <w:p w:rsidR="00C430C0" w:rsidRPr="002856BB" w:rsidRDefault="00C430C0" w:rsidP="00C430C0">
            <w:pPr>
              <w:jc w:val="center"/>
              <w:rPr>
                <w:rFonts w:hint="eastAsia"/>
                <w:sz w:val="20"/>
                <w:szCs w:val="20"/>
              </w:rPr>
            </w:pPr>
            <w:r w:rsidRPr="00525795">
              <w:rPr>
                <w:sz w:val="20"/>
                <w:szCs w:val="20"/>
              </w:rPr>
              <w:t>quantity</w:t>
            </w:r>
          </w:p>
        </w:tc>
        <w:tc>
          <w:tcPr>
            <w:tcW w:w="2416" w:type="dxa"/>
          </w:tcPr>
          <w:p w:rsidR="00C430C0" w:rsidRPr="002856BB" w:rsidRDefault="00C430C0" w:rsidP="00C430C0">
            <w:pPr>
              <w:jc w:val="center"/>
              <w:rPr>
                <w:rFonts w:hint="eastAsia"/>
                <w:sz w:val="20"/>
                <w:szCs w:val="20"/>
              </w:rPr>
            </w:pPr>
            <w:r w:rsidRPr="00C430C0">
              <w:rPr>
                <w:sz w:val="20"/>
                <w:szCs w:val="20"/>
              </w:rPr>
              <w:t>Quantity of rainwater collection</w:t>
            </w:r>
            <w:r>
              <w:rPr>
                <w:rFonts w:hint="eastAsia"/>
                <w:sz w:val="20"/>
                <w:szCs w:val="20"/>
              </w:rPr>
              <w:t>（M</w:t>
            </w:r>
            <w:r w:rsidRPr="000B2D19">
              <w:rPr>
                <w:rFonts w:hint="eastAsia"/>
                <w:sz w:val="21"/>
                <w:szCs w:val="21"/>
                <w:vertAlign w:val="superscript"/>
              </w:rPr>
              <w:t>3</w:t>
            </w:r>
            <w:r>
              <w:rPr>
                <w:sz w:val="20"/>
                <w:szCs w:val="20"/>
              </w:rPr>
              <w:t>）</w:t>
            </w:r>
          </w:p>
        </w:tc>
      </w:tr>
      <w:tr w:rsidR="00C430C0" w:rsidRPr="002856BB" w:rsidTr="00C430C0">
        <w:trPr>
          <w:trHeight w:val="689"/>
          <w:jc w:val="center"/>
        </w:trPr>
        <w:tc>
          <w:tcPr>
            <w:tcW w:w="4101" w:type="dxa"/>
            <w:vMerge w:val="restart"/>
            <w:vAlign w:val="center"/>
          </w:tcPr>
          <w:p w:rsidR="00C430C0" w:rsidRPr="002856BB" w:rsidRDefault="00C430C0" w:rsidP="00C430C0">
            <w:pPr>
              <w:jc w:val="center"/>
              <w:rPr>
                <w:rFonts w:hint="eastAsia"/>
                <w:sz w:val="20"/>
                <w:szCs w:val="20"/>
              </w:rPr>
            </w:pPr>
          </w:p>
        </w:tc>
        <w:tc>
          <w:tcPr>
            <w:tcW w:w="1423" w:type="dxa"/>
            <w:vMerge w:val="restart"/>
            <w:vAlign w:val="center"/>
          </w:tcPr>
          <w:p w:rsidR="00C430C0" w:rsidRPr="002856BB" w:rsidRDefault="00C430C0" w:rsidP="00C430C0">
            <w:pPr>
              <w:jc w:val="center"/>
              <w:rPr>
                <w:rFonts w:hint="eastAsia"/>
                <w:sz w:val="20"/>
                <w:szCs w:val="20"/>
              </w:rPr>
            </w:pPr>
            <w:r>
              <w:rPr>
                <w:rFonts w:hint="eastAsia"/>
                <w:sz w:val="20"/>
                <w:szCs w:val="20"/>
              </w:rPr>
              <w:t>6.75</w:t>
            </w:r>
          </w:p>
        </w:tc>
        <w:tc>
          <w:tcPr>
            <w:tcW w:w="2492" w:type="dxa"/>
            <w:vAlign w:val="center"/>
          </w:tcPr>
          <w:p w:rsidR="00C430C0" w:rsidRPr="002856BB" w:rsidRDefault="00C430C0" w:rsidP="00C430C0">
            <w:pPr>
              <w:jc w:val="center"/>
              <w:rPr>
                <w:rFonts w:hint="eastAsia"/>
                <w:sz w:val="20"/>
                <w:szCs w:val="20"/>
              </w:rPr>
            </w:pPr>
            <w:r w:rsidRPr="00525795">
              <w:rPr>
                <w:sz w:val="20"/>
                <w:szCs w:val="20"/>
              </w:rPr>
              <w:t>Scope: 95 (can be flexibly increased or decreased according to demand)</w:t>
            </w:r>
          </w:p>
        </w:tc>
        <w:tc>
          <w:tcPr>
            <w:tcW w:w="2416" w:type="dxa"/>
            <w:vAlign w:val="center"/>
          </w:tcPr>
          <w:p w:rsidR="00C430C0" w:rsidRPr="002856BB" w:rsidRDefault="00C430C0" w:rsidP="00C430C0">
            <w:pPr>
              <w:jc w:val="center"/>
              <w:rPr>
                <w:rFonts w:hint="eastAsia"/>
                <w:sz w:val="20"/>
                <w:szCs w:val="20"/>
              </w:rPr>
            </w:pPr>
            <w:r>
              <w:rPr>
                <w:rFonts w:hint="eastAsia"/>
                <w:sz w:val="20"/>
                <w:szCs w:val="20"/>
              </w:rPr>
              <w:t>92.6M</w:t>
            </w:r>
            <w:r w:rsidRPr="000B2D19">
              <w:rPr>
                <w:rFonts w:hint="eastAsia"/>
                <w:sz w:val="21"/>
                <w:szCs w:val="21"/>
                <w:vertAlign w:val="superscript"/>
              </w:rPr>
              <w:t>3</w:t>
            </w:r>
          </w:p>
        </w:tc>
      </w:tr>
      <w:tr w:rsidR="00C430C0" w:rsidRPr="002856BB" w:rsidTr="00C430C0">
        <w:trPr>
          <w:trHeight w:val="689"/>
          <w:jc w:val="center"/>
        </w:trPr>
        <w:tc>
          <w:tcPr>
            <w:tcW w:w="4101" w:type="dxa"/>
            <w:vMerge/>
            <w:vAlign w:val="center"/>
          </w:tcPr>
          <w:p w:rsidR="00C430C0" w:rsidRDefault="00C430C0" w:rsidP="00C430C0">
            <w:pPr>
              <w:jc w:val="center"/>
              <w:rPr>
                <w:rFonts w:hint="eastAsia"/>
                <w:sz w:val="20"/>
                <w:szCs w:val="20"/>
              </w:rPr>
            </w:pPr>
          </w:p>
        </w:tc>
        <w:tc>
          <w:tcPr>
            <w:tcW w:w="1423" w:type="dxa"/>
            <w:vMerge/>
            <w:vAlign w:val="center"/>
          </w:tcPr>
          <w:p w:rsidR="00C430C0" w:rsidRDefault="00C430C0" w:rsidP="00C430C0">
            <w:pPr>
              <w:jc w:val="center"/>
              <w:rPr>
                <w:rFonts w:hint="eastAsia"/>
                <w:sz w:val="20"/>
                <w:szCs w:val="20"/>
              </w:rPr>
            </w:pPr>
          </w:p>
        </w:tc>
        <w:tc>
          <w:tcPr>
            <w:tcW w:w="2492" w:type="dxa"/>
            <w:vAlign w:val="center"/>
          </w:tcPr>
          <w:p w:rsidR="00C430C0" w:rsidRPr="002856BB" w:rsidRDefault="00C430C0" w:rsidP="00C430C0">
            <w:pPr>
              <w:jc w:val="center"/>
              <w:rPr>
                <w:rFonts w:hint="eastAsia"/>
                <w:sz w:val="20"/>
                <w:szCs w:val="20"/>
              </w:rPr>
            </w:pPr>
            <w:r w:rsidRPr="00525795">
              <w:rPr>
                <w:sz w:val="20"/>
                <w:szCs w:val="20"/>
              </w:rPr>
              <w:t>Out of range: 50</w:t>
            </w:r>
          </w:p>
        </w:tc>
        <w:tc>
          <w:tcPr>
            <w:tcW w:w="2416" w:type="dxa"/>
            <w:vAlign w:val="center"/>
          </w:tcPr>
          <w:p w:rsidR="00C430C0" w:rsidRPr="002856BB" w:rsidRDefault="00C430C0" w:rsidP="00C430C0">
            <w:pPr>
              <w:jc w:val="center"/>
              <w:rPr>
                <w:rFonts w:hint="eastAsia"/>
                <w:sz w:val="20"/>
                <w:szCs w:val="20"/>
              </w:rPr>
            </w:pPr>
            <w:r>
              <w:rPr>
                <w:rFonts w:hint="eastAsia"/>
                <w:sz w:val="20"/>
                <w:szCs w:val="20"/>
              </w:rPr>
              <w:t>48.7M</w:t>
            </w:r>
            <w:r w:rsidRPr="000B2D19">
              <w:rPr>
                <w:rFonts w:hint="eastAsia"/>
                <w:sz w:val="21"/>
                <w:szCs w:val="21"/>
                <w:vertAlign w:val="superscript"/>
              </w:rPr>
              <w:t>3</w:t>
            </w:r>
          </w:p>
        </w:tc>
      </w:tr>
    </w:tbl>
    <w:p w:rsidR="00C430C0" w:rsidRDefault="00C430C0" w:rsidP="00525795">
      <w:pPr>
        <w:jc w:val="right"/>
        <w:rPr>
          <w:sz w:val="20"/>
          <w:szCs w:val="20"/>
        </w:rPr>
      </w:pPr>
      <w:r w:rsidRPr="00C430C0">
        <w:rPr>
          <w:sz w:val="20"/>
          <w:szCs w:val="20"/>
        </w:rPr>
        <w:t>*The chart is calculated based on a rainfall of 150mm</w:t>
      </w:r>
    </w:p>
    <w:p w:rsidR="00C430C0" w:rsidRDefault="00C430C0" w:rsidP="00525795">
      <w:pPr>
        <w:jc w:val="right"/>
        <w:rPr>
          <w:rFonts w:hint="eastAsia"/>
          <w:sz w:val="20"/>
          <w:szCs w:val="20"/>
        </w:rPr>
      </w:pPr>
    </w:p>
    <w:tbl>
      <w:tblPr>
        <w:tblStyle w:val="ae"/>
        <w:tblW w:w="0" w:type="auto"/>
        <w:jc w:val="center"/>
        <w:tblLook w:val="04A0" w:firstRow="1" w:lastRow="0" w:firstColumn="1" w:lastColumn="0" w:noHBand="0" w:noVBand="1"/>
      </w:tblPr>
      <w:tblGrid>
        <w:gridCol w:w="4101"/>
        <w:gridCol w:w="1423"/>
        <w:gridCol w:w="2492"/>
        <w:gridCol w:w="2416"/>
      </w:tblGrid>
      <w:tr w:rsidR="00C430C0" w:rsidRPr="002856BB" w:rsidTr="00525795">
        <w:trPr>
          <w:trHeight w:val="392"/>
          <w:jc w:val="center"/>
        </w:trPr>
        <w:tc>
          <w:tcPr>
            <w:tcW w:w="4101" w:type="dxa"/>
          </w:tcPr>
          <w:p w:rsidR="00C430C0" w:rsidRPr="002856BB" w:rsidRDefault="00C430C0" w:rsidP="00C430C0">
            <w:pPr>
              <w:jc w:val="center"/>
              <w:rPr>
                <w:rFonts w:hint="eastAsia"/>
                <w:sz w:val="20"/>
                <w:szCs w:val="20"/>
              </w:rPr>
            </w:pPr>
            <w:r w:rsidRPr="00C430C0">
              <w:rPr>
                <w:sz w:val="20"/>
                <w:szCs w:val="20"/>
              </w:rPr>
              <w:lastRenderedPageBreak/>
              <w:t>Seawater desalination device</w:t>
            </w:r>
          </w:p>
        </w:tc>
        <w:tc>
          <w:tcPr>
            <w:tcW w:w="1423" w:type="dxa"/>
          </w:tcPr>
          <w:p w:rsidR="00C430C0" w:rsidRPr="002856BB" w:rsidRDefault="00C430C0" w:rsidP="00C430C0">
            <w:pPr>
              <w:jc w:val="center"/>
              <w:rPr>
                <w:rFonts w:hint="eastAsia"/>
                <w:sz w:val="20"/>
                <w:szCs w:val="20"/>
              </w:rPr>
            </w:pPr>
            <w:r w:rsidRPr="00525795">
              <w:rPr>
                <w:sz w:val="20"/>
                <w:szCs w:val="20"/>
              </w:rPr>
              <w:t>Single area</w:t>
            </w:r>
            <w:r>
              <w:rPr>
                <w:rFonts w:hint="eastAsia"/>
                <w:sz w:val="20"/>
                <w:szCs w:val="20"/>
              </w:rPr>
              <w:t>（M</w:t>
            </w:r>
            <w:r w:rsidRPr="002856BB">
              <w:rPr>
                <w:rFonts w:hint="eastAsia"/>
                <w:sz w:val="20"/>
                <w:szCs w:val="20"/>
                <w:vertAlign w:val="superscript"/>
              </w:rPr>
              <w:t>2</w:t>
            </w:r>
            <w:r>
              <w:rPr>
                <w:sz w:val="20"/>
                <w:szCs w:val="20"/>
              </w:rPr>
              <w:t>）</w:t>
            </w:r>
          </w:p>
        </w:tc>
        <w:tc>
          <w:tcPr>
            <w:tcW w:w="2492" w:type="dxa"/>
          </w:tcPr>
          <w:p w:rsidR="00C430C0" w:rsidRPr="002856BB" w:rsidRDefault="00C430C0" w:rsidP="00C430C0">
            <w:pPr>
              <w:jc w:val="center"/>
              <w:rPr>
                <w:rFonts w:hint="eastAsia"/>
                <w:sz w:val="20"/>
                <w:szCs w:val="20"/>
              </w:rPr>
            </w:pPr>
            <w:r w:rsidRPr="00525795">
              <w:rPr>
                <w:sz w:val="20"/>
                <w:szCs w:val="20"/>
              </w:rPr>
              <w:t>quantity</w:t>
            </w:r>
          </w:p>
        </w:tc>
        <w:tc>
          <w:tcPr>
            <w:tcW w:w="2416" w:type="dxa"/>
          </w:tcPr>
          <w:p w:rsidR="00C430C0" w:rsidRPr="002856BB" w:rsidRDefault="00C430C0" w:rsidP="00C430C0">
            <w:pPr>
              <w:jc w:val="center"/>
              <w:rPr>
                <w:rFonts w:hint="eastAsia"/>
                <w:sz w:val="20"/>
                <w:szCs w:val="20"/>
              </w:rPr>
            </w:pPr>
            <w:r w:rsidRPr="00C430C0">
              <w:rPr>
                <w:sz w:val="20"/>
                <w:szCs w:val="20"/>
              </w:rPr>
              <w:t>Total amount of quantity dilution (L)</w:t>
            </w:r>
          </w:p>
        </w:tc>
      </w:tr>
      <w:tr w:rsidR="00525795" w:rsidRPr="002856BB" w:rsidTr="00525795">
        <w:trPr>
          <w:trHeight w:val="1388"/>
          <w:jc w:val="center"/>
        </w:trPr>
        <w:tc>
          <w:tcPr>
            <w:tcW w:w="4101" w:type="dxa"/>
            <w:vAlign w:val="center"/>
          </w:tcPr>
          <w:p w:rsidR="00525795" w:rsidRPr="002856BB" w:rsidRDefault="00525795" w:rsidP="00AB1773">
            <w:pPr>
              <w:jc w:val="center"/>
              <w:rPr>
                <w:rFonts w:hint="eastAsia"/>
                <w:sz w:val="20"/>
                <w:szCs w:val="20"/>
              </w:rPr>
            </w:pPr>
          </w:p>
        </w:tc>
        <w:tc>
          <w:tcPr>
            <w:tcW w:w="1423" w:type="dxa"/>
            <w:vAlign w:val="center"/>
          </w:tcPr>
          <w:p w:rsidR="00525795" w:rsidRPr="002856BB" w:rsidRDefault="00525795" w:rsidP="00AB1773">
            <w:pPr>
              <w:jc w:val="center"/>
              <w:rPr>
                <w:rFonts w:hint="eastAsia"/>
                <w:sz w:val="20"/>
                <w:szCs w:val="20"/>
              </w:rPr>
            </w:pPr>
            <w:r>
              <w:rPr>
                <w:rFonts w:hint="eastAsia"/>
                <w:sz w:val="20"/>
                <w:szCs w:val="20"/>
              </w:rPr>
              <w:t>1.3M</w:t>
            </w:r>
            <w:r w:rsidRPr="002856BB">
              <w:rPr>
                <w:rFonts w:hint="eastAsia"/>
                <w:sz w:val="20"/>
                <w:szCs w:val="20"/>
                <w:vertAlign w:val="superscript"/>
              </w:rPr>
              <w:t>2</w:t>
            </w:r>
          </w:p>
        </w:tc>
        <w:tc>
          <w:tcPr>
            <w:tcW w:w="2492" w:type="dxa"/>
            <w:vAlign w:val="center"/>
          </w:tcPr>
          <w:p w:rsidR="00525795" w:rsidRPr="002856BB" w:rsidRDefault="00525795" w:rsidP="00AB1773">
            <w:pPr>
              <w:jc w:val="center"/>
              <w:rPr>
                <w:rFonts w:hint="eastAsia"/>
                <w:sz w:val="20"/>
                <w:szCs w:val="20"/>
              </w:rPr>
            </w:pPr>
            <w:r>
              <w:rPr>
                <w:rFonts w:hint="eastAsia"/>
                <w:sz w:val="20"/>
                <w:szCs w:val="20"/>
              </w:rPr>
              <w:t>26</w:t>
            </w:r>
          </w:p>
        </w:tc>
        <w:tc>
          <w:tcPr>
            <w:tcW w:w="2416" w:type="dxa"/>
            <w:vAlign w:val="center"/>
          </w:tcPr>
          <w:p w:rsidR="00525795" w:rsidRPr="002856BB" w:rsidRDefault="00525795" w:rsidP="00AB1773">
            <w:pPr>
              <w:jc w:val="center"/>
              <w:rPr>
                <w:rFonts w:hint="eastAsia"/>
                <w:sz w:val="20"/>
                <w:szCs w:val="20"/>
              </w:rPr>
            </w:pPr>
            <w:r>
              <w:rPr>
                <w:rFonts w:hint="eastAsia"/>
                <w:sz w:val="20"/>
                <w:szCs w:val="20"/>
              </w:rPr>
              <w:t>670L</w:t>
            </w:r>
          </w:p>
        </w:tc>
      </w:tr>
    </w:tbl>
    <w:p w:rsidR="006076B5" w:rsidRDefault="00C430C0" w:rsidP="00C430C0">
      <w:pPr>
        <w:jc w:val="right"/>
      </w:pPr>
      <w:r w:rsidRPr="00C430C0">
        <w:rPr>
          <w:sz w:val="20"/>
          <w:szCs w:val="20"/>
        </w:rPr>
        <w:t>*The chart shows the calculation of 24-hour fresh water volume</w:t>
      </w:r>
    </w:p>
    <w:p w:rsidR="006076B5" w:rsidRDefault="006076B5" w:rsidP="006076B5"/>
    <w:p w:rsidR="00EE38F7" w:rsidRDefault="00EE38F7" w:rsidP="00EE38F7">
      <w:pPr>
        <w:rPr>
          <w:rFonts w:hint="eastAsia"/>
        </w:rPr>
      </w:pPr>
      <w:r>
        <w:rPr>
          <w:rFonts w:hint="eastAsia"/>
        </w:rPr>
        <w:t>3、 Prototype and Pilot Implementation Instructions</w:t>
      </w:r>
    </w:p>
    <w:p w:rsidR="006076B5" w:rsidRDefault="00EE38F7" w:rsidP="00EE38F7">
      <w:r>
        <w:rPr>
          <w:rFonts w:hint="eastAsia"/>
        </w:rPr>
        <w:t>The prototype institution will be scaled and pre tested in equal proportions overseas, and after meeting the design requirements, it will be dismantled and transported in the form of components to the pilot site for on-site assembly and testing. Regarding rainwater collection and storage devices, they will be locally produced in a way that allows for large-scale procurement. All assembly work can be carried out with the participation of local residents, solving the technical requirements in the subsequent large-scale production in the simplest form.</w:t>
      </w:r>
    </w:p>
    <w:p w:rsidR="006076B5" w:rsidRDefault="006076B5" w:rsidP="006076B5"/>
    <w:p w:rsidR="00EE38F7" w:rsidRPr="00EE38F7" w:rsidRDefault="00EE38F7" w:rsidP="00EE38F7">
      <w:r w:rsidRPr="00EE38F7">
        <w:t>4、 Operation and maintenance instructions</w:t>
      </w:r>
    </w:p>
    <w:p w:rsidR="00EE38F7" w:rsidRPr="00EE38F7" w:rsidRDefault="00EE38F7" w:rsidP="00EE38F7">
      <w:r w:rsidRPr="00EE38F7">
        <w:t xml:space="preserve">The device is designed with modularity and all specifications are standardized. It is easy to assemble with screws and power cables, and the operation process can be completed by local residents themselves. Other external devices are also standardized, such as benches and water dispensers, which can be directly fixed to the column through simple hanging parts to meet flexibility and variability. The design lifespan of the device is about 10 years, and maintenance mainly focuses on the replacement of damaged solar panels and surface rust prevention treatment of steel columns. Reduce maintenance costs in a </w:t>
      </w:r>
      <w:proofErr w:type="gramStart"/>
      <w:r w:rsidRPr="00EE38F7">
        <w:t>low tech</w:t>
      </w:r>
      <w:proofErr w:type="gramEnd"/>
      <w:r w:rsidRPr="00EE38F7">
        <w:t xml:space="preserve"> manner.</w:t>
      </w:r>
    </w:p>
    <w:p w:rsidR="006076B5" w:rsidRDefault="006076B5" w:rsidP="006076B5"/>
    <w:p w:rsidR="00EE38F7" w:rsidRPr="00EE38F7" w:rsidRDefault="00EE38F7" w:rsidP="00EE38F7">
      <w:r w:rsidRPr="00EE38F7">
        <w:t>5、 Environmental Impact Assessment</w:t>
      </w:r>
    </w:p>
    <w:p w:rsidR="00EE38F7" w:rsidRPr="00EE38F7" w:rsidRDefault="00EE38F7" w:rsidP="00EE38F7">
      <w:r w:rsidRPr="00EE38F7">
        <w:t>Due to the issue of bottom fixation, the device needs to be partially excavated and reinforced with concrete in the area, which may cause partial damage to the local ecology. Ground platform reinforcement can be used to reduce the excavation area (refer to the ground wooden platform in the drawing); In addition, the potential influx of tourists may cause damage to the ground vegetation on site. It is recommended to plan a fixed tourist route to avoid trampling and damaging large areas of vegetation.</w:t>
      </w:r>
    </w:p>
    <w:p w:rsidR="006076B5" w:rsidRPr="00EE38F7" w:rsidRDefault="006076B5" w:rsidP="006076B5"/>
    <w:p w:rsidR="006076B5" w:rsidRDefault="006076B5" w:rsidP="006076B5"/>
    <w:p w:rsidR="006076B5" w:rsidRDefault="006076B5" w:rsidP="006076B5"/>
    <w:p w:rsidR="006076B5" w:rsidRDefault="006076B5" w:rsidP="006076B5"/>
    <w:p w:rsidR="006076B5" w:rsidRDefault="006076B5" w:rsidP="006076B5"/>
    <w:p w:rsidR="006076B5" w:rsidRDefault="006076B5" w:rsidP="006076B5"/>
    <w:sectPr w:rsidR="006076B5" w:rsidSect="002856B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B5"/>
    <w:rsid w:val="00077E95"/>
    <w:rsid w:val="000B2D19"/>
    <w:rsid w:val="002775A5"/>
    <w:rsid w:val="002856BB"/>
    <w:rsid w:val="00291455"/>
    <w:rsid w:val="002A0291"/>
    <w:rsid w:val="00472C08"/>
    <w:rsid w:val="00525795"/>
    <w:rsid w:val="00582715"/>
    <w:rsid w:val="006076B5"/>
    <w:rsid w:val="006265B8"/>
    <w:rsid w:val="0067467F"/>
    <w:rsid w:val="006932F9"/>
    <w:rsid w:val="008267C1"/>
    <w:rsid w:val="00852CB5"/>
    <w:rsid w:val="00904453"/>
    <w:rsid w:val="00972AAE"/>
    <w:rsid w:val="009B01A2"/>
    <w:rsid w:val="00AA0177"/>
    <w:rsid w:val="00AE79CF"/>
    <w:rsid w:val="00B06EB1"/>
    <w:rsid w:val="00C430C0"/>
    <w:rsid w:val="00EE38F7"/>
    <w:rsid w:val="00F7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00AB"/>
  <w15:chartTrackingRefBased/>
  <w15:docId w15:val="{9D29F47E-3669-43A9-8F2F-0BCFA469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6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076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076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076B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076B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076B5"/>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07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6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076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076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076B5"/>
    <w:rPr>
      <w:rFonts w:cstheme="majorBidi"/>
      <w:color w:val="0F4761" w:themeColor="accent1" w:themeShade="BF"/>
      <w:sz w:val="28"/>
      <w:szCs w:val="28"/>
    </w:rPr>
  </w:style>
  <w:style w:type="character" w:customStyle="1" w:styleId="50">
    <w:name w:val="标题 5 字符"/>
    <w:basedOn w:val="a0"/>
    <w:link w:val="5"/>
    <w:uiPriority w:val="9"/>
    <w:semiHidden/>
    <w:rsid w:val="006076B5"/>
    <w:rPr>
      <w:rFonts w:cstheme="majorBidi"/>
      <w:color w:val="0F4761" w:themeColor="accent1" w:themeShade="BF"/>
      <w:sz w:val="24"/>
    </w:rPr>
  </w:style>
  <w:style w:type="character" w:customStyle="1" w:styleId="60">
    <w:name w:val="标题 6 字符"/>
    <w:basedOn w:val="a0"/>
    <w:link w:val="6"/>
    <w:uiPriority w:val="9"/>
    <w:semiHidden/>
    <w:rsid w:val="006076B5"/>
    <w:rPr>
      <w:rFonts w:cstheme="majorBidi"/>
      <w:b/>
      <w:bCs/>
      <w:color w:val="0F4761" w:themeColor="accent1" w:themeShade="BF"/>
    </w:rPr>
  </w:style>
  <w:style w:type="character" w:customStyle="1" w:styleId="70">
    <w:name w:val="标题 7 字符"/>
    <w:basedOn w:val="a0"/>
    <w:link w:val="7"/>
    <w:uiPriority w:val="9"/>
    <w:semiHidden/>
    <w:rsid w:val="006076B5"/>
    <w:rPr>
      <w:rFonts w:cstheme="majorBidi"/>
      <w:b/>
      <w:bCs/>
      <w:color w:val="595959" w:themeColor="text1" w:themeTint="A6"/>
    </w:rPr>
  </w:style>
  <w:style w:type="character" w:customStyle="1" w:styleId="80">
    <w:name w:val="标题 8 字符"/>
    <w:basedOn w:val="a0"/>
    <w:link w:val="8"/>
    <w:uiPriority w:val="9"/>
    <w:semiHidden/>
    <w:rsid w:val="006076B5"/>
    <w:rPr>
      <w:rFonts w:cstheme="majorBidi"/>
      <w:color w:val="595959" w:themeColor="text1" w:themeTint="A6"/>
    </w:rPr>
  </w:style>
  <w:style w:type="character" w:customStyle="1" w:styleId="90">
    <w:name w:val="标题 9 字符"/>
    <w:basedOn w:val="a0"/>
    <w:link w:val="9"/>
    <w:uiPriority w:val="9"/>
    <w:semiHidden/>
    <w:rsid w:val="006076B5"/>
    <w:rPr>
      <w:rFonts w:eastAsiaTheme="majorEastAsia" w:cstheme="majorBidi"/>
      <w:color w:val="595959" w:themeColor="text1" w:themeTint="A6"/>
    </w:rPr>
  </w:style>
  <w:style w:type="paragraph" w:styleId="a3">
    <w:name w:val="Title"/>
    <w:basedOn w:val="a"/>
    <w:next w:val="a"/>
    <w:link w:val="a4"/>
    <w:uiPriority w:val="10"/>
    <w:qFormat/>
    <w:rsid w:val="00607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6B5"/>
    <w:pPr>
      <w:spacing w:before="160"/>
      <w:jc w:val="center"/>
    </w:pPr>
    <w:rPr>
      <w:i/>
      <w:iCs/>
      <w:color w:val="404040" w:themeColor="text1" w:themeTint="BF"/>
    </w:rPr>
  </w:style>
  <w:style w:type="character" w:customStyle="1" w:styleId="a8">
    <w:name w:val="引用 字符"/>
    <w:basedOn w:val="a0"/>
    <w:link w:val="a7"/>
    <w:uiPriority w:val="29"/>
    <w:rsid w:val="006076B5"/>
    <w:rPr>
      <w:i/>
      <w:iCs/>
      <w:color w:val="404040" w:themeColor="text1" w:themeTint="BF"/>
    </w:rPr>
  </w:style>
  <w:style w:type="paragraph" w:styleId="a9">
    <w:name w:val="List Paragraph"/>
    <w:basedOn w:val="a"/>
    <w:uiPriority w:val="34"/>
    <w:qFormat/>
    <w:rsid w:val="006076B5"/>
    <w:pPr>
      <w:ind w:left="720"/>
      <w:contextualSpacing/>
    </w:pPr>
  </w:style>
  <w:style w:type="character" w:styleId="aa">
    <w:name w:val="Intense Emphasis"/>
    <w:basedOn w:val="a0"/>
    <w:uiPriority w:val="21"/>
    <w:qFormat/>
    <w:rsid w:val="006076B5"/>
    <w:rPr>
      <w:i/>
      <w:iCs/>
      <w:color w:val="0F4761" w:themeColor="accent1" w:themeShade="BF"/>
    </w:rPr>
  </w:style>
  <w:style w:type="paragraph" w:styleId="ab">
    <w:name w:val="Intense Quote"/>
    <w:basedOn w:val="a"/>
    <w:next w:val="a"/>
    <w:link w:val="ac"/>
    <w:uiPriority w:val="30"/>
    <w:qFormat/>
    <w:rsid w:val="00607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076B5"/>
    <w:rPr>
      <w:i/>
      <w:iCs/>
      <w:color w:val="0F4761" w:themeColor="accent1" w:themeShade="BF"/>
    </w:rPr>
  </w:style>
  <w:style w:type="character" w:styleId="ad">
    <w:name w:val="Intense Reference"/>
    <w:basedOn w:val="a0"/>
    <w:uiPriority w:val="32"/>
    <w:qFormat/>
    <w:rsid w:val="006076B5"/>
    <w:rPr>
      <w:b/>
      <w:bCs/>
      <w:smallCaps/>
      <w:color w:val="0F4761" w:themeColor="accent1" w:themeShade="BF"/>
      <w:spacing w:val="5"/>
    </w:rPr>
  </w:style>
  <w:style w:type="table" w:styleId="ae">
    <w:name w:val="Table Grid"/>
    <w:basedOn w:val="a1"/>
    <w:uiPriority w:val="39"/>
    <w:rsid w:val="0082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37010">
      <w:bodyDiv w:val="1"/>
      <w:marLeft w:val="0"/>
      <w:marRight w:val="0"/>
      <w:marTop w:val="0"/>
      <w:marBottom w:val="0"/>
      <w:divBdr>
        <w:top w:val="none" w:sz="0" w:space="0" w:color="auto"/>
        <w:left w:val="none" w:sz="0" w:space="0" w:color="auto"/>
        <w:bottom w:val="none" w:sz="0" w:space="0" w:color="auto"/>
        <w:right w:val="none" w:sz="0" w:space="0" w:color="auto"/>
      </w:divBdr>
      <w:divsChild>
        <w:div w:id="1897736411">
          <w:marLeft w:val="0"/>
          <w:marRight w:val="0"/>
          <w:marTop w:val="0"/>
          <w:marBottom w:val="0"/>
          <w:divBdr>
            <w:top w:val="none" w:sz="0" w:space="0" w:color="auto"/>
            <w:left w:val="none" w:sz="0" w:space="0" w:color="auto"/>
            <w:bottom w:val="none" w:sz="0" w:space="0" w:color="auto"/>
            <w:right w:val="none" w:sz="0" w:space="0" w:color="auto"/>
          </w:divBdr>
        </w:div>
        <w:div w:id="1721516447">
          <w:marLeft w:val="0"/>
          <w:marRight w:val="0"/>
          <w:marTop w:val="0"/>
          <w:marBottom w:val="0"/>
          <w:divBdr>
            <w:top w:val="none" w:sz="0" w:space="0" w:color="auto"/>
            <w:left w:val="none" w:sz="0" w:space="0" w:color="auto"/>
            <w:bottom w:val="none" w:sz="0" w:space="0" w:color="auto"/>
            <w:right w:val="none" w:sz="0" w:space="0" w:color="auto"/>
          </w:divBdr>
        </w:div>
      </w:divsChild>
    </w:div>
    <w:div w:id="418645822">
      <w:bodyDiv w:val="1"/>
      <w:marLeft w:val="0"/>
      <w:marRight w:val="0"/>
      <w:marTop w:val="0"/>
      <w:marBottom w:val="0"/>
      <w:divBdr>
        <w:top w:val="none" w:sz="0" w:space="0" w:color="auto"/>
        <w:left w:val="none" w:sz="0" w:space="0" w:color="auto"/>
        <w:bottom w:val="none" w:sz="0" w:space="0" w:color="auto"/>
        <w:right w:val="none" w:sz="0" w:space="0" w:color="auto"/>
      </w:divBdr>
      <w:divsChild>
        <w:div w:id="712004871">
          <w:marLeft w:val="0"/>
          <w:marRight w:val="0"/>
          <w:marTop w:val="0"/>
          <w:marBottom w:val="0"/>
          <w:divBdr>
            <w:top w:val="none" w:sz="0" w:space="0" w:color="auto"/>
            <w:left w:val="none" w:sz="0" w:space="0" w:color="auto"/>
            <w:bottom w:val="none" w:sz="0" w:space="0" w:color="auto"/>
            <w:right w:val="none" w:sz="0" w:space="0" w:color="auto"/>
          </w:divBdr>
        </w:div>
        <w:div w:id="182716641">
          <w:marLeft w:val="0"/>
          <w:marRight w:val="0"/>
          <w:marTop w:val="0"/>
          <w:marBottom w:val="0"/>
          <w:divBdr>
            <w:top w:val="none" w:sz="0" w:space="0" w:color="auto"/>
            <w:left w:val="none" w:sz="0" w:space="0" w:color="auto"/>
            <w:bottom w:val="none" w:sz="0" w:space="0" w:color="auto"/>
            <w:right w:val="none" w:sz="0" w:space="0" w:color="auto"/>
          </w:divBdr>
        </w:div>
      </w:divsChild>
    </w:div>
    <w:div w:id="627705601">
      <w:bodyDiv w:val="1"/>
      <w:marLeft w:val="0"/>
      <w:marRight w:val="0"/>
      <w:marTop w:val="0"/>
      <w:marBottom w:val="0"/>
      <w:divBdr>
        <w:top w:val="none" w:sz="0" w:space="0" w:color="auto"/>
        <w:left w:val="none" w:sz="0" w:space="0" w:color="auto"/>
        <w:bottom w:val="none" w:sz="0" w:space="0" w:color="auto"/>
        <w:right w:val="none" w:sz="0" w:space="0" w:color="auto"/>
      </w:divBdr>
      <w:divsChild>
        <w:div w:id="1577665163">
          <w:marLeft w:val="0"/>
          <w:marRight w:val="0"/>
          <w:marTop w:val="0"/>
          <w:marBottom w:val="0"/>
          <w:divBdr>
            <w:top w:val="none" w:sz="0" w:space="0" w:color="auto"/>
            <w:left w:val="none" w:sz="0" w:space="0" w:color="auto"/>
            <w:bottom w:val="none" w:sz="0" w:space="0" w:color="auto"/>
            <w:right w:val="none" w:sz="0" w:space="0" w:color="auto"/>
          </w:divBdr>
        </w:div>
        <w:div w:id="1599479297">
          <w:marLeft w:val="0"/>
          <w:marRight w:val="0"/>
          <w:marTop w:val="0"/>
          <w:marBottom w:val="0"/>
          <w:divBdr>
            <w:top w:val="none" w:sz="0" w:space="0" w:color="auto"/>
            <w:left w:val="none" w:sz="0" w:space="0" w:color="auto"/>
            <w:bottom w:val="none" w:sz="0" w:space="0" w:color="auto"/>
            <w:right w:val="none" w:sz="0" w:space="0" w:color="auto"/>
          </w:divBdr>
        </w:div>
      </w:divsChild>
    </w:div>
    <w:div w:id="663626618">
      <w:bodyDiv w:val="1"/>
      <w:marLeft w:val="0"/>
      <w:marRight w:val="0"/>
      <w:marTop w:val="0"/>
      <w:marBottom w:val="0"/>
      <w:divBdr>
        <w:top w:val="none" w:sz="0" w:space="0" w:color="auto"/>
        <w:left w:val="none" w:sz="0" w:space="0" w:color="auto"/>
        <w:bottom w:val="none" w:sz="0" w:space="0" w:color="auto"/>
        <w:right w:val="none" w:sz="0" w:space="0" w:color="auto"/>
      </w:divBdr>
      <w:divsChild>
        <w:div w:id="180972457">
          <w:marLeft w:val="0"/>
          <w:marRight w:val="0"/>
          <w:marTop w:val="0"/>
          <w:marBottom w:val="0"/>
          <w:divBdr>
            <w:top w:val="none" w:sz="0" w:space="0" w:color="auto"/>
            <w:left w:val="none" w:sz="0" w:space="0" w:color="auto"/>
            <w:bottom w:val="none" w:sz="0" w:space="0" w:color="auto"/>
            <w:right w:val="none" w:sz="0" w:space="0" w:color="auto"/>
          </w:divBdr>
        </w:div>
        <w:div w:id="1731726384">
          <w:marLeft w:val="0"/>
          <w:marRight w:val="0"/>
          <w:marTop w:val="0"/>
          <w:marBottom w:val="0"/>
          <w:divBdr>
            <w:top w:val="none" w:sz="0" w:space="0" w:color="auto"/>
            <w:left w:val="none" w:sz="0" w:space="0" w:color="auto"/>
            <w:bottom w:val="none" w:sz="0" w:space="0" w:color="auto"/>
            <w:right w:val="none" w:sz="0" w:space="0" w:color="auto"/>
          </w:divBdr>
        </w:div>
      </w:divsChild>
    </w:div>
    <w:div w:id="849415304">
      <w:bodyDiv w:val="1"/>
      <w:marLeft w:val="0"/>
      <w:marRight w:val="0"/>
      <w:marTop w:val="0"/>
      <w:marBottom w:val="0"/>
      <w:divBdr>
        <w:top w:val="none" w:sz="0" w:space="0" w:color="auto"/>
        <w:left w:val="none" w:sz="0" w:space="0" w:color="auto"/>
        <w:bottom w:val="none" w:sz="0" w:space="0" w:color="auto"/>
        <w:right w:val="none" w:sz="0" w:space="0" w:color="auto"/>
      </w:divBdr>
      <w:divsChild>
        <w:div w:id="586117843">
          <w:marLeft w:val="0"/>
          <w:marRight w:val="0"/>
          <w:marTop w:val="0"/>
          <w:marBottom w:val="0"/>
          <w:divBdr>
            <w:top w:val="none" w:sz="0" w:space="0" w:color="auto"/>
            <w:left w:val="none" w:sz="0" w:space="0" w:color="auto"/>
            <w:bottom w:val="none" w:sz="0" w:space="0" w:color="auto"/>
            <w:right w:val="none" w:sz="0" w:space="0" w:color="auto"/>
          </w:divBdr>
        </w:div>
        <w:div w:id="698286488">
          <w:marLeft w:val="0"/>
          <w:marRight w:val="0"/>
          <w:marTop w:val="0"/>
          <w:marBottom w:val="0"/>
          <w:divBdr>
            <w:top w:val="none" w:sz="0" w:space="0" w:color="auto"/>
            <w:left w:val="none" w:sz="0" w:space="0" w:color="auto"/>
            <w:bottom w:val="none" w:sz="0" w:space="0" w:color="auto"/>
            <w:right w:val="none" w:sz="0" w:space="0" w:color="auto"/>
          </w:divBdr>
        </w:div>
      </w:divsChild>
    </w:div>
    <w:div w:id="1350906506">
      <w:bodyDiv w:val="1"/>
      <w:marLeft w:val="0"/>
      <w:marRight w:val="0"/>
      <w:marTop w:val="0"/>
      <w:marBottom w:val="0"/>
      <w:divBdr>
        <w:top w:val="none" w:sz="0" w:space="0" w:color="auto"/>
        <w:left w:val="none" w:sz="0" w:space="0" w:color="auto"/>
        <w:bottom w:val="none" w:sz="0" w:space="0" w:color="auto"/>
        <w:right w:val="none" w:sz="0" w:space="0" w:color="auto"/>
      </w:divBdr>
      <w:divsChild>
        <w:div w:id="1376270060">
          <w:marLeft w:val="0"/>
          <w:marRight w:val="0"/>
          <w:marTop w:val="0"/>
          <w:marBottom w:val="0"/>
          <w:divBdr>
            <w:top w:val="none" w:sz="0" w:space="0" w:color="auto"/>
            <w:left w:val="none" w:sz="0" w:space="0" w:color="auto"/>
            <w:bottom w:val="none" w:sz="0" w:space="0" w:color="auto"/>
            <w:right w:val="none" w:sz="0" w:space="0" w:color="auto"/>
          </w:divBdr>
        </w:div>
        <w:div w:id="58453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3684</Characters>
  <Application>Microsoft Office Word</Application>
  <DocSecurity>0</DocSecurity>
  <Lines>87</Lines>
  <Paragraphs>35</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2025-04-30T10:09:00Z</dcterms:created>
  <dcterms:modified xsi:type="dcterms:W3CDTF">2025-04-30T10:10:00Z</dcterms:modified>
</cp:coreProperties>
</file>