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Arial" w:cs="Arial" w:hAnsi="Arial" w:eastAsia="Arial"/>
          <w:color w:val="333333"/>
          <w:rtl w:val="0"/>
        </w:rPr>
      </w:pPr>
      <w:r>
        <w:rPr>
          <w:rFonts w:ascii="Arial" w:hAnsi="Arial"/>
          <w:color w:val="333333"/>
          <w:rtl w:val="0"/>
          <w:lang w:val="pt-PT"/>
        </w:rPr>
        <w:t xml:space="preserve">Solar luminescent Agora </w:t>
      </w:r>
    </w:p>
    <w:p>
      <w:pPr>
        <w:pStyle w:val="Default"/>
        <w:bidi w:val="0"/>
        <w:ind w:left="0" w:right="0" w:firstLine="0"/>
        <w:jc w:val="left"/>
        <w:rPr>
          <w:rFonts w:ascii="Arial" w:cs="Arial" w:hAnsi="Arial" w:eastAsia="Arial"/>
          <w:color w:val="333333"/>
          <w:rtl w:val="0"/>
        </w:rPr>
      </w:pPr>
    </w:p>
    <w:p>
      <w:pPr>
        <w:pStyle w:val="Default"/>
        <w:bidi w:val="0"/>
        <w:ind w:left="0" w:right="0" w:firstLine="0"/>
        <w:jc w:val="left"/>
        <w:rPr>
          <w:rFonts w:ascii="Arial" w:cs="Arial" w:hAnsi="Arial" w:eastAsia="Arial"/>
          <w:color w:val="333333"/>
          <w:rtl w:val="0"/>
        </w:rPr>
      </w:pPr>
      <w:r>
        <w:rPr>
          <w:rFonts w:ascii="Arial" w:hAnsi="Arial"/>
          <w:color w:val="333333"/>
          <w:rtl w:val="0"/>
          <w:lang w:val="en-US"/>
        </w:rPr>
        <w:t>It is a proposal that seeks to develop in the field prepared for LAGI 2019 a sculpture of great proportions that allows to develop an urban space of important characteristics, allowing the development under this of citizen activities, proposing Protection to the high temperatures of the city.</w:t>
      </w:r>
    </w:p>
    <w:p>
      <w:pPr>
        <w:pStyle w:val="Default"/>
        <w:bidi w:val="0"/>
        <w:ind w:left="0" w:right="0" w:firstLine="0"/>
        <w:jc w:val="left"/>
        <w:rPr>
          <w:rFonts w:ascii="Arial" w:cs="Arial" w:hAnsi="Arial" w:eastAsia="Arial"/>
          <w:color w:val="333333"/>
          <w:rtl w:val="0"/>
        </w:rPr>
      </w:pPr>
    </w:p>
    <w:p>
      <w:pPr>
        <w:pStyle w:val="Default"/>
        <w:bidi w:val="0"/>
        <w:ind w:left="0" w:right="0" w:firstLine="0"/>
        <w:jc w:val="left"/>
        <w:rPr>
          <w:rFonts w:ascii="Arial" w:cs="Arial" w:hAnsi="Arial" w:eastAsia="Arial"/>
          <w:color w:val="333333"/>
          <w:rtl w:val="0"/>
        </w:rPr>
      </w:pPr>
      <w:r>
        <w:rPr>
          <w:rFonts w:ascii="Arial" w:hAnsi="Arial"/>
          <w:color w:val="333333"/>
          <w:rtl w:val="0"/>
          <w:lang w:val="en-US"/>
        </w:rPr>
        <w:t>The structure is based on the technology luminescent solar concentrator (LSC) photovoltaic (ClearvuePV</w:t>
      </w:r>
      <w:r>
        <w:rPr>
          <w:rFonts w:ascii="Arial" w:hAnsi="Arial" w:hint="default"/>
          <w:color w:val="333333"/>
          <w:rtl w:val="0"/>
        </w:rPr>
        <w:t xml:space="preserve">® </w:t>
      </w:r>
      <w:r>
        <w:rPr>
          <w:rFonts w:ascii="Arial" w:hAnsi="Arial"/>
          <w:color w:val="333333"/>
          <w:rtl w:val="0"/>
          <w:lang w:val="en-US"/>
        </w:rPr>
        <w:t>or similar) from orange colored plaques with particular nano inside that redirect the radiation to its edges, allowing a capture of Energy from direct radiation on indirect in a constant way.</w:t>
      </w:r>
    </w:p>
    <w:p>
      <w:pPr>
        <w:pStyle w:val="Default"/>
        <w:bidi w:val="0"/>
        <w:ind w:left="0" w:right="0" w:firstLine="0"/>
        <w:jc w:val="left"/>
        <w:rPr>
          <w:rFonts w:ascii="Arial" w:cs="Arial" w:hAnsi="Arial" w:eastAsia="Arial"/>
          <w:color w:val="333333"/>
          <w:rtl w:val="0"/>
        </w:rPr>
      </w:pPr>
    </w:p>
    <w:p>
      <w:pPr>
        <w:pStyle w:val="Default"/>
        <w:bidi w:val="0"/>
        <w:ind w:left="0" w:right="0" w:firstLine="0"/>
        <w:jc w:val="left"/>
        <w:rPr>
          <w:rFonts w:ascii="Arial" w:cs="Arial" w:hAnsi="Arial" w:eastAsia="Arial"/>
          <w:color w:val="333333"/>
          <w:rtl w:val="0"/>
        </w:rPr>
      </w:pPr>
      <w:r>
        <w:rPr>
          <w:rFonts w:ascii="Arial" w:hAnsi="Arial"/>
          <w:color w:val="333333"/>
          <w:rtl w:val="0"/>
          <w:lang w:val="en-US"/>
        </w:rPr>
        <w:t>The technology allows a capture per plate Sqm of 30 W, which in the 36,000 sqm of plate available in the project gives a total of 1,080,000 W (1,080 Kwp) with an estimated annual 388.800 KWH.</w:t>
      </w:r>
    </w:p>
    <w:p>
      <w:pPr>
        <w:pStyle w:val="Default"/>
        <w:bidi w:val="0"/>
        <w:ind w:left="0" w:right="0" w:firstLine="0"/>
        <w:jc w:val="left"/>
        <w:rPr>
          <w:rFonts w:ascii="Arial" w:cs="Arial" w:hAnsi="Arial" w:eastAsia="Arial"/>
          <w:color w:val="333333"/>
          <w:rtl w:val="0"/>
        </w:rPr>
      </w:pPr>
    </w:p>
    <w:p>
      <w:pPr>
        <w:pStyle w:val="Default"/>
        <w:bidi w:val="0"/>
        <w:ind w:left="0" w:right="0" w:firstLine="0"/>
        <w:jc w:val="left"/>
        <w:rPr>
          <w:rFonts w:ascii="Arial" w:cs="Arial" w:hAnsi="Arial" w:eastAsia="Arial"/>
          <w:color w:val="333333"/>
          <w:rtl w:val="0"/>
        </w:rPr>
      </w:pPr>
      <w:r>
        <w:rPr>
          <w:rFonts w:ascii="Arial" w:hAnsi="Arial"/>
          <w:color w:val="333333"/>
          <w:rtl w:val="0"/>
          <w:lang w:val="en-US"/>
        </w:rPr>
        <w:t>The Luminescent properties of the material allow glowing under the surface, producing an exciting phenomenon of indirect lighting under the surface, creating a reflective space that supports activities during the day and the night by Led light, using just a 1% of the total energy produced each day.</w:t>
      </w:r>
    </w:p>
    <w:p>
      <w:pPr>
        <w:pStyle w:val="Body"/>
        <w:rPr>
          <w:rFonts w:ascii="Arial" w:cs="Arial" w:hAnsi="Arial" w:eastAsia="Arial"/>
        </w:rPr>
      </w:pPr>
    </w:p>
    <w:p>
      <w:pPr>
        <w:pStyle w:val="Body"/>
        <w:rPr>
          <w:rFonts w:ascii="Arial" w:cs="Arial" w:hAnsi="Arial" w:eastAsia="Arial"/>
        </w:rPr>
      </w:pPr>
      <w:r>
        <w:rPr>
          <w:rFonts w:ascii="Arial" w:hAnsi="Arial"/>
          <w:rtl w:val="0"/>
          <w:lang w:val="es-ES_tradnl"/>
        </w:rPr>
        <w:t>The total estimated cost per sqm is about 60 USD due to its material is mainly plastic based and a steel structure as main support.</w:t>
      </w:r>
    </w:p>
    <w:p>
      <w:pPr>
        <w:pStyle w:val="Body"/>
        <w:rPr>
          <w:rFonts w:ascii="Arial" w:cs="Arial" w:hAnsi="Arial" w:eastAsia="Arial"/>
        </w:rPr>
      </w:pPr>
    </w:p>
    <w:p>
      <w:pPr>
        <w:pStyle w:val="Body"/>
      </w:pPr>
      <w:r>
        <w:rPr>
          <w:rFonts w:ascii="Arial" w:hAnsi="Arial"/>
          <w:rtl w:val="0"/>
          <w:lang w:val="en-US"/>
        </w:rPr>
        <w:t xml:space="preserve">The design </w:t>
      </w:r>
      <w:r>
        <w:rPr>
          <w:rFonts w:ascii="Arial" w:hAnsi="Arial"/>
          <w:rtl w:val="0"/>
          <w:lang w:val="es-ES_tradnl"/>
        </w:rPr>
        <w:t>is a monumental design that creates a new open environment in the new city, just by passive environmental criteria, protecting the outdoor just catch the sun energy and re distributing the radiation in a better indirect way during daylight hours. By night the luminescent properties can produce a great scenario for afternoon community activities, following the site sizes, creating a unique atmosphere with sinuous geometries that evoques wind and arid landscapes.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pt-PT"/>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