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6676E" w14:textId="77777777" w:rsidR="00A467D9" w:rsidRPr="00A8759F" w:rsidRDefault="00A467D9" w:rsidP="00A467D9">
      <w:pPr>
        <w:rPr>
          <w:rFonts w:cstheme="minorHAnsi"/>
          <w:b/>
          <w:sz w:val="32"/>
        </w:rPr>
      </w:pPr>
      <w:bookmarkStart w:id="0" w:name="_GoBack"/>
      <w:r w:rsidRPr="00A8759F">
        <w:rPr>
          <w:rFonts w:cstheme="minorHAnsi"/>
          <w:b/>
          <w:sz w:val="32"/>
        </w:rPr>
        <w:t>Energy in Motion</w:t>
      </w:r>
    </w:p>
    <w:p w14:paraId="516AD807" w14:textId="77777777" w:rsidR="00A467D9" w:rsidRPr="00A8759F" w:rsidRDefault="00A467D9" w:rsidP="00A467D9">
      <w:pPr>
        <w:rPr>
          <w:rFonts w:cstheme="minorHAnsi"/>
          <w:sz w:val="24"/>
        </w:rPr>
      </w:pPr>
      <w:r w:rsidRPr="00A8759F">
        <w:rPr>
          <w:rFonts w:cstheme="minorHAnsi"/>
          <w:sz w:val="24"/>
        </w:rPr>
        <w:t>Energy in Motion transports visitors back to the vibrant seaside entertainment precinct it was in the early 20</w:t>
      </w:r>
      <w:r w:rsidRPr="00A8759F">
        <w:rPr>
          <w:rFonts w:cstheme="minorHAnsi"/>
          <w:sz w:val="24"/>
          <w:vertAlign w:val="superscript"/>
        </w:rPr>
        <w:t>th</w:t>
      </w:r>
      <w:r w:rsidRPr="00A8759F">
        <w:rPr>
          <w:rFonts w:cstheme="minorHAnsi"/>
          <w:sz w:val="24"/>
        </w:rPr>
        <w:t xml:space="preserve"> century with interactive piezoelectric paving, playful swings and slides, and a glowing sculptural pergola referencing the colors of festive Luna Park.  This pergola serves both as a shelter and an overhead sculpture that will capture solar energy for use on the site via Luminescent Solar Concentrators (LSC) and a lighted focal point in the evenings. Bench swings hung from the pergola engage CSRIO’s Infinity Swing technology allowing visitors to generate renewable energy while they swing back and forth people watching.  Additional sculptures </w:t>
      </w:r>
      <w:r>
        <w:rPr>
          <w:rFonts w:cstheme="minorHAnsi"/>
          <w:sz w:val="24"/>
        </w:rPr>
        <w:t xml:space="preserve">employing LSC energy technologies </w:t>
      </w:r>
      <w:r w:rsidRPr="00A8759F">
        <w:rPr>
          <w:rFonts w:cstheme="minorHAnsi"/>
          <w:sz w:val="24"/>
        </w:rPr>
        <w:t xml:space="preserve">act as a landmark on the overlook and </w:t>
      </w:r>
      <w:r>
        <w:rPr>
          <w:rFonts w:cstheme="minorHAnsi"/>
          <w:sz w:val="24"/>
        </w:rPr>
        <w:t xml:space="preserve">two site entries at </w:t>
      </w:r>
      <w:proofErr w:type="spellStart"/>
      <w:r>
        <w:rPr>
          <w:rFonts w:cstheme="minorHAnsi"/>
          <w:sz w:val="24"/>
        </w:rPr>
        <w:t>Jacka</w:t>
      </w:r>
      <w:proofErr w:type="spellEnd"/>
      <w:r>
        <w:rPr>
          <w:rFonts w:cstheme="minorHAnsi"/>
          <w:sz w:val="24"/>
        </w:rPr>
        <w:t xml:space="preserve"> Boulevard crossing points</w:t>
      </w:r>
      <w:r w:rsidRPr="00A8759F">
        <w:rPr>
          <w:rFonts w:cstheme="minorHAnsi"/>
          <w:sz w:val="24"/>
        </w:rPr>
        <w:t xml:space="preserve">.  </w:t>
      </w:r>
    </w:p>
    <w:p w14:paraId="0AEE620F" w14:textId="77777777" w:rsidR="00A467D9" w:rsidRPr="00A8759F" w:rsidRDefault="00A467D9" w:rsidP="00A467D9">
      <w:pPr>
        <w:rPr>
          <w:rFonts w:cstheme="minorHAnsi"/>
          <w:sz w:val="24"/>
        </w:rPr>
      </w:pPr>
      <w:r w:rsidRPr="00A8759F">
        <w:rPr>
          <w:rFonts w:cstheme="minorHAnsi"/>
          <w:sz w:val="24"/>
        </w:rPr>
        <w:t>The energetic atmosphere of the place is further captured via piezoelectric tiles embedded into the pav</w:t>
      </w:r>
      <w:r>
        <w:rPr>
          <w:rFonts w:cstheme="minorHAnsi"/>
          <w:sz w:val="24"/>
        </w:rPr>
        <w:t>ement</w:t>
      </w:r>
      <w:r w:rsidRPr="00A8759F">
        <w:rPr>
          <w:rFonts w:cstheme="minorHAnsi"/>
          <w:sz w:val="24"/>
        </w:rPr>
        <w:t xml:space="preserve"> </w:t>
      </w:r>
      <w:r>
        <w:rPr>
          <w:rFonts w:cstheme="minorHAnsi"/>
          <w:sz w:val="24"/>
        </w:rPr>
        <w:t>of</w:t>
      </w:r>
      <w:r w:rsidRPr="00A8759F">
        <w:rPr>
          <w:rFonts w:cstheme="minorHAnsi"/>
          <w:sz w:val="24"/>
        </w:rPr>
        <w:t xml:space="preserve"> the promenade and </w:t>
      </w:r>
      <w:r>
        <w:rPr>
          <w:rFonts w:cstheme="minorHAnsi"/>
          <w:sz w:val="24"/>
        </w:rPr>
        <w:t xml:space="preserve">in </w:t>
      </w:r>
      <w:r w:rsidRPr="00A8759F">
        <w:rPr>
          <w:rFonts w:cstheme="minorHAnsi"/>
          <w:sz w:val="24"/>
        </w:rPr>
        <w:t xml:space="preserve">stepping stones across the </w:t>
      </w:r>
      <w:r>
        <w:rPr>
          <w:rFonts w:cstheme="minorHAnsi"/>
          <w:sz w:val="24"/>
        </w:rPr>
        <w:t xml:space="preserve">activity </w:t>
      </w:r>
      <w:r w:rsidRPr="00A8759F">
        <w:rPr>
          <w:rFonts w:cstheme="minorHAnsi"/>
          <w:sz w:val="24"/>
        </w:rPr>
        <w:t xml:space="preserve">lawn.  </w:t>
      </w:r>
      <w:r>
        <w:rPr>
          <w:rFonts w:cstheme="minorHAnsi"/>
          <w:sz w:val="24"/>
        </w:rPr>
        <w:t>At night t</w:t>
      </w:r>
      <w:r w:rsidRPr="00A8759F">
        <w:rPr>
          <w:rFonts w:cstheme="minorHAnsi"/>
          <w:sz w:val="24"/>
        </w:rPr>
        <w:t xml:space="preserve">he </w:t>
      </w:r>
      <w:r>
        <w:rPr>
          <w:rFonts w:cstheme="minorHAnsi"/>
          <w:sz w:val="24"/>
        </w:rPr>
        <w:t xml:space="preserve">stepping </w:t>
      </w:r>
      <w:r w:rsidRPr="00A8759F">
        <w:rPr>
          <w:rFonts w:cstheme="minorHAnsi"/>
          <w:sz w:val="24"/>
        </w:rPr>
        <w:t xml:space="preserve">tiles are lighted dimly and become brighter when stepped upon.  Additional tiles are placed around the perimeter of the site enticing </w:t>
      </w:r>
      <w:r>
        <w:rPr>
          <w:rFonts w:cstheme="minorHAnsi"/>
          <w:sz w:val="24"/>
        </w:rPr>
        <w:t>visitors</w:t>
      </w:r>
      <w:r w:rsidRPr="00A8759F">
        <w:rPr>
          <w:rFonts w:cstheme="minorHAnsi"/>
          <w:sz w:val="24"/>
        </w:rPr>
        <w:t xml:space="preserve"> to follow them into the seaside park.  A piezoelectric energy-generating slide provides a fun connection from the upper promenade down to </w:t>
      </w:r>
      <w:proofErr w:type="spellStart"/>
      <w:r w:rsidRPr="00A8759F">
        <w:rPr>
          <w:rFonts w:cstheme="minorHAnsi"/>
          <w:sz w:val="24"/>
        </w:rPr>
        <w:t>Jacka</w:t>
      </w:r>
      <w:proofErr w:type="spellEnd"/>
      <w:r w:rsidRPr="00A8759F">
        <w:rPr>
          <w:rFonts w:cstheme="minorHAnsi"/>
          <w:sz w:val="24"/>
        </w:rPr>
        <w:t xml:space="preserve"> Plaza where visitors can enjoy an old-fashioned boardwalk lemon shake from citrus grown on-site.  </w:t>
      </w:r>
    </w:p>
    <w:p w14:paraId="763480EF" w14:textId="77777777" w:rsidR="00A467D9" w:rsidRPr="00A8759F" w:rsidRDefault="00A467D9" w:rsidP="00A467D9">
      <w:pPr>
        <w:rPr>
          <w:rFonts w:cstheme="minorHAnsi"/>
          <w:sz w:val="24"/>
        </w:rPr>
      </w:pPr>
      <w:r w:rsidRPr="00A8759F">
        <w:rPr>
          <w:rFonts w:cstheme="minorHAnsi"/>
          <w:sz w:val="24"/>
        </w:rPr>
        <w:t xml:space="preserve">The energy harvested via human motion acts as a demonstrative opportunity for the public to see how they can help channel their energy into site lighting and other energy capture.  It also encourages and motivates people to get up and move around promoting healthier lifestyles.   </w:t>
      </w:r>
    </w:p>
    <w:p w14:paraId="57434676" w14:textId="77777777" w:rsidR="00A467D9" w:rsidRPr="00A8759F" w:rsidRDefault="00A467D9" w:rsidP="00A467D9">
      <w:pPr>
        <w:rPr>
          <w:rFonts w:cstheme="minorHAnsi"/>
          <w:b/>
          <w:sz w:val="24"/>
        </w:rPr>
      </w:pPr>
      <w:r w:rsidRPr="00A8759F">
        <w:rPr>
          <w:rFonts w:cstheme="minorHAnsi"/>
          <w:b/>
          <w:sz w:val="24"/>
        </w:rPr>
        <w:t xml:space="preserve">Energy Calculations  </w:t>
      </w:r>
    </w:p>
    <w:p w14:paraId="4AF2FD99" w14:textId="77777777" w:rsidR="00A467D9" w:rsidRPr="00A8759F" w:rsidRDefault="00A467D9" w:rsidP="00A467D9">
      <w:pPr>
        <w:rPr>
          <w:rFonts w:cstheme="minorHAnsi"/>
          <w:sz w:val="24"/>
        </w:rPr>
      </w:pPr>
      <w:r w:rsidRPr="00A8759F">
        <w:rPr>
          <w:rFonts w:cstheme="minorHAnsi"/>
          <w:sz w:val="24"/>
        </w:rPr>
        <w:t xml:space="preserve">Energy in Motion is estimated to generate 4,062 annual MWh via piezoelectric technology </w:t>
      </w:r>
      <w:r>
        <w:rPr>
          <w:rFonts w:cstheme="minorHAnsi"/>
          <w:sz w:val="24"/>
        </w:rPr>
        <w:t>producing</w:t>
      </w:r>
      <w:r w:rsidRPr="00A8759F">
        <w:rPr>
          <w:rFonts w:cstheme="minorHAnsi"/>
          <w:sz w:val="24"/>
        </w:rPr>
        <w:t xml:space="preserve"> enough energy to power 406 </w:t>
      </w:r>
      <w:commentRangeStart w:id="1"/>
      <w:commentRangeStart w:id="2"/>
      <w:commentRangeStart w:id="3"/>
      <w:r w:rsidRPr="00A8759F">
        <w:rPr>
          <w:rFonts w:cstheme="minorHAnsi"/>
          <w:sz w:val="24"/>
        </w:rPr>
        <w:t xml:space="preserve">inefficient </w:t>
      </w:r>
      <w:commentRangeEnd w:id="1"/>
      <w:r>
        <w:rPr>
          <w:rStyle w:val="CommentReference"/>
        </w:rPr>
        <w:commentReference w:id="1"/>
      </w:r>
      <w:commentRangeEnd w:id="2"/>
      <w:r>
        <w:rPr>
          <w:rStyle w:val="CommentReference"/>
        </w:rPr>
        <w:commentReference w:id="2"/>
      </w:r>
      <w:commentRangeEnd w:id="3"/>
      <w:r>
        <w:rPr>
          <w:rStyle w:val="CommentReference"/>
        </w:rPr>
        <w:commentReference w:id="3"/>
      </w:r>
      <w:r w:rsidRPr="00A8759F">
        <w:rPr>
          <w:rFonts w:cstheme="minorHAnsi"/>
          <w:sz w:val="24"/>
        </w:rPr>
        <w:t>homes in the Melbourne area</w:t>
      </w:r>
      <w:r>
        <w:rPr>
          <w:rFonts w:cstheme="minorHAnsi"/>
          <w:sz w:val="24"/>
        </w:rPr>
        <w:t xml:space="preserve">. An additional </w:t>
      </w:r>
      <w:r w:rsidRPr="00A8759F">
        <w:rPr>
          <w:rFonts w:cstheme="minorHAnsi"/>
          <w:sz w:val="24"/>
        </w:rPr>
        <w:t xml:space="preserve">8 MWh </w:t>
      </w:r>
      <w:r>
        <w:rPr>
          <w:rFonts w:cstheme="minorHAnsi"/>
          <w:sz w:val="24"/>
        </w:rPr>
        <w:t xml:space="preserve">is produced </w:t>
      </w:r>
      <w:r w:rsidRPr="00A8759F">
        <w:rPr>
          <w:rFonts w:cstheme="minorHAnsi"/>
          <w:sz w:val="24"/>
        </w:rPr>
        <w:t xml:space="preserve">annually through the Luminescent Solar </w:t>
      </w:r>
      <w:r>
        <w:rPr>
          <w:rFonts w:cstheme="minorHAnsi"/>
          <w:sz w:val="24"/>
        </w:rPr>
        <w:t>Concentrator</w:t>
      </w:r>
      <w:r w:rsidRPr="00A8759F">
        <w:rPr>
          <w:rFonts w:cstheme="minorHAnsi"/>
          <w:sz w:val="24"/>
        </w:rPr>
        <w:t xml:space="preserve"> structure</w:t>
      </w:r>
      <w:r>
        <w:rPr>
          <w:rFonts w:cstheme="minorHAnsi"/>
          <w:sz w:val="24"/>
        </w:rPr>
        <w:t xml:space="preserve">s. </w:t>
      </w:r>
      <w:r w:rsidRPr="00A8759F">
        <w:rPr>
          <w:rFonts w:cstheme="minorHAnsi"/>
          <w:sz w:val="24"/>
        </w:rPr>
        <w:t xml:space="preserve">  </w:t>
      </w:r>
    </w:p>
    <w:p w14:paraId="66F7C387" w14:textId="77777777" w:rsidR="00A467D9" w:rsidRPr="00A8759F" w:rsidRDefault="00A467D9" w:rsidP="00A467D9">
      <w:pPr>
        <w:rPr>
          <w:rFonts w:cstheme="minorHAnsi"/>
          <w:sz w:val="24"/>
        </w:rPr>
      </w:pPr>
      <w:r w:rsidRPr="00A8759F">
        <w:rPr>
          <w:rFonts w:cstheme="minorHAnsi"/>
          <w:sz w:val="24"/>
        </w:rPr>
        <w:t xml:space="preserve">Though the Luminescent Solar Concentrator sculptures do not generate an abundance of excess energy, the playful elements of the design attract people to engage in the site using their motion to generate additional energy. </w:t>
      </w:r>
    </w:p>
    <w:p w14:paraId="4A14EFEE" w14:textId="77777777" w:rsidR="00A467D9" w:rsidRPr="00A8759F" w:rsidRDefault="00A467D9" w:rsidP="00A467D9">
      <w:pPr>
        <w:spacing w:after="0" w:line="240" w:lineRule="auto"/>
        <w:ind w:left="1440"/>
        <w:rPr>
          <w:rFonts w:eastAsiaTheme="minorEastAsia" w:cstheme="minorHAnsi"/>
          <w:sz w:val="24"/>
        </w:rPr>
      </w:pPr>
    </w:p>
    <w:p w14:paraId="204547CB" w14:textId="77777777" w:rsidR="00A467D9" w:rsidRPr="00A8759F" w:rsidRDefault="00A467D9" w:rsidP="00A467D9">
      <w:pPr>
        <w:spacing w:before="120" w:after="120" w:line="240" w:lineRule="auto"/>
        <w:ind w:firstLine="720"/>
        <w:rPr>
          <w:rFonts w:eastAsiaTheme="minorEastAsia" w:cstheme="minorHAnsi"/>
          <w:sz w:val="24"/>
        </w:rPr>
      </w:pPr>
      <w:r w:rsidRPr="00A8759F">
        <w:rPr>
          <w:rFonts w:eastAsiaTheme="minorEastAsia" w:cstheme="minorHAnsi"/>
          <w:sz w:val="24"/>
        </w:rPr>
        <w:t>PIEZOELECTRIC STEPPING STONES</w:t>
      </w:r>
    </w:p>
    <w:p w14:paraId="1CDFF16B" w14:textId="77777777" w:rsidR="00A467D9" w:rsidRPr="00A8759F" w:rsidRDefault="00A467D9" w:rsidP="00A467D9">
      <w:pPr>
        <w:spacing w:after="0" w:line="240" w:lineRule="auto"/>
        <w:ind w:left="720"/>
        <w:rPr>
          <w:rFonts w:eastAsiaTheme="minorEastAsia" w:cstheme="minorHAnsi"/>
          <w:sz w:val="24"/>
        </w:rPr>
      </w:pPr>
      <w:r w:rsidRPr="00A8759F">
        <w:rPr>
          <w:rFonts w:eastAsiaTheme="minorEastAsia" w:cstheme="minorHAnsi"/>
          <w:sz w:val="24"/>
        </w:rPr>
        <w:tab/>
        <w:t>Stepping stones = 0.15 square meter per tile</w:t>
      </w:r>
    </w:p>
    <w:p w14:paraId="563D51F6" w14:textId="77777777" w:rsidR="00A467D9" w:rsidRPr="00A8759F" w:rsidRDefault="00A467D9" w:rsidP="00A467D9">
      <w:pPr>
        <w:spacing w:after="0" w:line="240" w:lineRule="auto"/>
        <w:ind w:left="720"/>
        <w:rPr>
          <w:rFonts w:eastAsiaTheme="minorEastAsia" w:cstheme="minorHAnsi"/>
          <w:sz w:val="24"/>
        </w:rPr>
      </w:pPr>
      <w:r w:rsidRPr="00A8759F">
        <w:rPr>
          <w:rFonts w:eastAsiaTheme="minorEastAsia" w:cstheme="minorHAnsi"/>
          <w:sz w:val="24"/>
        </w:rPr>
        <w:tab/>
        <w:t>650 pieces x 0.15 square meter = 97.5 square meters</w:t>
      </w:r>
    </w:p>
    <w:p w14:paraId="097E3E23" w14:textId="77777777" w:rsidR="00A467D9" w:rsidRPr="00A8759F" w:rsidRDefault="00A467D9" w:rsidP="00A467D9">
      <w:pPr>
        <w:spacing w:after="240" w:line="240" w:lineRule="auto"/>
        <w:ind w:left="720"/>
        <w:rPr>
          <w:rFonts w:eastAsiaTheme="minorEastAsia" w:cstheme="minorHAnsi"/>
          <w:sz w:val="24"/>
        </w:rPr>
      </w:pPr>
      <w:r w:rsidRPr="00A8759F">
        <w:rPr>
          <w:rFonts w:eastAsiaTheme="minorEastAsia" w:cstheme="minorHAnsi"/>
          <w:sz w:val="24"/>
        </w:rPr>
        <w:tab/>
        <w:t>1 stepping stone generates 10 W per step*</w:t>
      </w:r>
    </w:p>
    <w:p w14:paraId="4B226A2E" w14:textId="77777777" w:rsidR="00A467D9" w:rsidRPr="00A8759F" w:rsidRDefault="00A467D9" w:rsidP="00A467D9">
      <w:pPr>
        <w:spacing w:after="0" w:line="240" w:lineRule="auto"/>
        <w:ind w:left="2160"/>
        <w:rPr>
          <w:rFonts w:eastAsiaTheme="minorEastAsia" w:cstheme="minorHAnsi"/>
          <w:sz w:val="24"/>
        </w:rPr>
      </w:pPr>
      <w:r w:rsidRPr="00A8759F">
        <w:rPr>
          <w:rFonts w:eastAsiaTheme="minorEastAsia" w:cstheme="minorHAnsi"/>
          <w:sz w:val="24"/>
        </w:rPr>
        <w:t>x 650 stepping stones</w:t>
      </w:r>
    </w:p>
    <w:p w14:paraId="025039A9" w14:textId="77777777" w:rsidR="00A467D9" w:rsidRPr="00A8759F" w:rsidRDefault="00A467D9" w:rsidP="00A467D9">
      <w:pPr>
        <w:spacing w:after="0" w:line="240" w:lineRule="auto"/>
        <w:ind w:left="2160"/>
        <w:rPr>
          <w:rFonts w:eastAsiaTheme="minorEastAsia" w:cstheme="minorHAnsi"/>
          <w:sz w:val="24"/>
        </w:rPr>
      </w:pPr>
      <w:r w:rsidRPr="00A8759F">
        <w:rPr>
          <w:rFonts w:eastAsiaTheme="minorEastAsia" w:cstheme="minorHAnsi"/>
          <w:sz w:val="24"/>
        </w:rPr>
        <w:t xml:space="preserve">x 500 estimated steps daily per stepping stone </w:t>
      </w:r>
    </w:p>
    <w:p w14:paraId="5AC0BECB" w14:textId="77777777" w:rsidR="00A467D9" w:rsidRPr="00A8759F" w:rsidRDefault="00A467D9" w:rsidP="00A467D9">
      <w:pPr>
        <w:spacing w:after="0" w:line="240" w:lineRule="auto"/>
        <w:ind w:left="2160"/>
        <w:rPr>
          <w:rFonts w:eastAsiaTheme="minorEastAsia" w:cstheme="minorHAnsi"/>
          <w:sz w:val="24"/>
        </w:rPr>
      </w:pPr>
      <w:r w:rsidRPr="00A8759F">
        <w:rPr>
          <w:rFonts w:eastAsiaTheme="minorEastAsia" w:cstheme="minorHAnsi"/>
          <w:sz w:val="24"/>
        </w:rPr>
        <w:t>x 10 W per step</w:t>
      </w:r>
    </w:p>
    <w:p w14:paraId="2F6446A5" w14:textId="77777777" w:rsidR="00A467D9" w:rsidRPr="00A8759F" w:rsidRDefault="00A467D9" w:rsidP="00A467D9">
      <w:pPr>
        <w:spacing w:after="0" w:line="240" w:lineRule="auto"/>
        <w:ind w:left="2160"/>
        <w:rPr>
          <w:rFonts w:eastAsiaTheme="minorEastAsia" w:cstheme="minorHAnsi"/>
          <w:sz w:val="24"/>
        </w:rPr>
      </w:pPr>
      <w:r w:rsidRPr="00A8759F">
        <w:rPr>
          <w:rFonts w:eastAsiaTheme="minorEastAsia" w:cstheme="minorHAnsi"/>
          <w:sz w:val="24"/>
        </w:rPr>
        <w:t>x 365 days per year</w:t>
      </w:r>
    </w:p>
    <w:p w14:paraId="34F6EAB4" w14:textId="77777777" w:rsidR="00A467D9" w:rsidRPr="00A8759F" w:rsidRDefault="00A467D9" w:rsidP="00A467D9">
      <w:pPr>
        <w:spacing w:after="0" w:line="240" w:lineRule="auto"/>
        <w:ind w:left="2160"/>
        <w:rPr>
          <w:rFonts w:eastAsiaTheme="minorEastAsia" w:cstheme="minorHAnsi"/>
          <w:sz w:val="24"/>
        </w:rPr>
      </w:pPr>
      <w:r w:rsidRPr="00A8759F">
        <w:rPr>
          <w:rFonts w:eastAsiaTheme="minorEastAsia" w:cstheme="minorHAnsi"/>
          <w:sz w:val="24"/>
        </w:rPr>
        <w:lastRenderedPageBreak/>
        <w:t xml:space="preserve">÷ 1000000 </w:t>
      </w:r>
      <w:proofErr w:type="spellStart"/>
      <w:r w:rsidRPr="00A8759F">
        <w:rPr>
          <w:rFonts w:eastAsiaTheme="minorEastAsia" w:cstheme="minorHAnsi"/>
          <w:sz w:val="24"/>
        </w:rPr>
        <w:t>Wh</w:t>
      </w:r>
      <w:proofErr w:type="spellEnd"/>
      <w:r w:rsidRPr="00A8759F">
        <w:rPr>
          <w:rFonts w:eastAsiaTheme="minorEastAsia" w:cstheme="minorHAnsi"/>
          <w:sz w:val="24"/>
        </w:rPr>
        <w:t xml:space="preserve"> &gt; MWh</w:t>
      </w:r>
    </w:p>
    <w:p w14:paraId="7F96CF28" w14:textId="77777777" w:rsidR="00A467D9" w:rsidRPr="00A8759F" w:rsidRDefault="00A467D9" w:rsidP="00A467D9">
      <w:pPr>
        <w:spacing w:after="240" w:line="240" w:lineRule="auto"/>
        <w:ind w:left="2160"/>
        <w:rPr>
          <w:rFonts w:eastAsiaTheme="minorEastAsia" w:cstheme="minorHAnsi"/>
          <w:b/>
          <w:sz w:val="24"/>
        </w:rPr>
      </w:pPr>
      <w:r w:rsidRPr="00A8759F">
        <w:rPr>
          <w:rFonts w:eastAsiaTheme="minorEastAsia" w:cstheme="minorHAnsi"/>
          <w:b/>
          <w:sz w:val="24"/>
        </w:rPr>
        <w:t>= 1,186 MWh</w:t>
      </w:r>
    </w:p>
    <w:p w14:paraId="57963494" w14:textId="77777777" w:rsidR="00A467D9" w:rsidRPr="00A8759F" w:rsidRDefault="00A467D9" w:rsidP="00A467D9">
      <w:pPr>
        <w:spacing w:after="0" w:line="240" w:lineRule="auto"/>
        <w:ind w:left="2160"/>
        <w:rPr>
          <w:rFonts w:eastAsiaTheme="minorEastAsia" w:cstheme="minorHAnsi"/>
          <w:sz w:val="24"/>
        </w:rPr>
      </w:pPr>
      <w:r w:rsidRPr="00A8759F">
        <w:rPr>
          <w:rFonts w:eastAsiaTheme="minorEastAsia" w:cstheme="minorHAnsi"/>
          <w:sz w:val="24"/>
        </w:rPr>
        <w:t>1,186 MWh</w:t>
      </w:r>
    </w:p>
    <w:p w14:paraId="386C0621" w14:textId="77777777" w:rsidR="00A467D9" w:rsidRPr="00A8759F" w:rsidRDefault="00A467D9" w:rsidP="00A467D9">
      <w:pPr>
        <w:spacing w:after="0" w:line="240" w:lineRule="auto"/>
        <w:ind w:left="2160"/>
        <w:rPr>
          <w:rFonts w:eastAsiaTheme="minorEastAsia" w:cstheme="minorHAnsi"/>
          <w:sz w:val="24"/>
        </w:rPr>
      </w:pPr>
      <w:r w:rsidRPr="00A8759F">
        <w:rPr>
          <w:rFonts w:eastAsiaTheme="minorEastAsia" w:cstheme="minorHAnsi"/>
          <w:sz w:val="24"/>
        </w:rPr>
        <w:t>÷ 10 MWh per year (inefficient home)</w:t>
      </w:r>
    </w:p>
    <w:p w14:paraId="2333FD33" w14:textId="77777777" w:rsidR="00A467D9" w:rsidRPr="00A8759F" w:rsidRDefault="00A467D9" w:rsidP="00A467D9">
      <w:pPr>
        <w:spacing w:after="240" w:line="240" w:lineRule="auto"/>
        <w:ind w:left="2160"/>
        <w:rPr>
          <w:rFonts w:eastAsiaTheme="minorEastAsia" w:cstheme="minorHAnsi"/>
          <w:b/>
          <w:sz w:val="24"/>
        </w:rPr>
      </w:pPr>
      <w:r w:rsidRPr="00A8759F">
        <w:rPr>
          <w:rFonts w:eastAsiaTheme="minorEastAsia" w:cstheme="minorHAnsi"/>
          <w:b/>
          <w:sz w:val="24"/>
        </w:rPr>
        <w:t>= 118 homes</w:t>
      </w:r>
    </w:p>
    <w:p w14:paraId="1C8565DF" w14:textId="77777777" w:rsidR="00A467D9" w:rsidRPr="00A8759F" w:rsidRDefault="00A467D9" w:rsidP="00A467D9">
      <w:pPr>
        <w:spacing w:before="120" w:after="120" w:line="240" w:lineRule="auto"/>
        <w:ind w:left="720"/>
        <w:rPr>
          <w:rFonts w:eastAsiaTheme="minorEastAsia" w:cstheme="minorHAnsi"/>
          <w:sz w:val="24"/>
        </w:rPr>
      </w:pPr>
      <w:r w:rsidRPr="00A8759F">
        <w:rPr>
          <w:rFonts w:eastAsiaTheme="minorEastAsia" w:cstheme="minorHAnsi"/>
          <w:sz w:val="24"/>
        </w:rPr>
        <w:t xml:space="preserve">*Resource: </w:t>
      </w:r>
      <w:proofErr w:type="spellStart"/>
      <w:r w:rsidRPr="00A8759F">
        <w:rPr>
          <w:rFonts w:eastAsiaTheme="minorEastAsia" w:cstheme="minorHAnsi"/>
          <w:sz w:val="24"/>
        </w:rPr>
        <w:t>Elhalwagy</w:t>
      </w:r>
      <w:proofErr w:type="spellEnd"/>
      <w:r w:rsidRPr="00A8759F">
        <w:rPr>
          <w:rFonts w:eastAsiaTheme="minorEastAsia" w:cstheme="minorHAnsi"/>
          <w:sz w:val="24"/>
        </w:rPr>
        <w:t xml:space="preserve">, Adnan Mohamed et el.  “Feasibility Study for Using Piezoelectric Energy Harvesting Floor in Buildings’ Interior Spaces”.  ScienceDirect. Study conducted 2017 and published by Elsevier. </w:t>
      </w:r>
    </w:p>
    <w:p w14:paraId="44A1D568" w14:textId="77777777" w:rsidR="00A467D9" w:rsidRPr="00A8759F" w:rsidRDefault="00A467D9" w:rsidP="00A467D9">
      <w:pPr>
        <w:spacing w:before="120" w:after="120" w:line="240" w:lineRule="auto"/>
        <w:rPr>
          <w:rFonts w:eastAsiaTheme="minorEastAsia" w:cstheme="minorHAnsi"/>
          <w:sz w:val="24"/>
        </w:rPr>
      </w:pPr>
    </w:p>
    <w:p w14:paraId="0F84D5DE" w14:textId="77777777" w:rsidR="00A467D9" w:rsidRPr="00A8759F" w:rsidRDefault="00A467D9" w:rsidP="00A467D9">
      <w:pPr>
        <w:spacing w:before="120" w:after="120" w:line="240" w:lineRule="auto"/>
        <w:ind w:left="720"/>
        <w:rPr>
          <w:rFonts w:eastAsiaTheme="minorEastAsia" w:cstheme="minorHAnsi"/>
          <w:sz w:val="24"/>
        </w:rPr>
      </w:pPr>
      <w:r w:rsidRPr="00A8759F">
        <w:rPr>
          <w:rFonts w:eastAsiaTheme="minorEastAsia" w:cstheme="minorHAnsi"/>
          <w:sz w:val="24"/>
        </w:rPr>
        <w:t>PIEZOELECTRIC PROMENADE PAVING</w:t>
      </w:r>
    </w:p>
    <w:p w14:paraId="760D6C61" w14:textId="77777777" w:rsidR="00A467D9" w:rsidRPr="00A8759F" w:rsidRDefault="00A467D9" w:rsidP="00A467D9">
      <w:pPr>
        <w:spacing w:after="0" w:line="240" w:lineRule="auto"/>
        <w:ind w:left="720"/>
        <w:rPr>
          <w:rFonts w:eastAsiaTheme="minorEastAsia" w:cstheme="minorHAnsi"/>
          <w:sz w:val="24"/>
        </w:rPr>
      </w:pPr>
      <w:r w:rsidRPr="00A8759F">
        <w:rPr>
          <w:rFonts w:eastAsiaTheme="minorEastAsia" w:cstheme="minorHAnsi"/>
          <w:sz w:val="24"/>
        </w:rPr>
        <w:tab/>
        <w:t xml:space="preserve">5,342 visitors per day to St. Kilda (including </w:t>
      </w:r>
      <w:proofErr w:type="gramStart"/>
      <w:r w:rsidRPr="00A8759F">
        <w:rPr>
          <w:rFonts w:eastAsiaTheme="minorEastAsia" w:cstheme="minorHAnsi"/>
          <w:sz w:val="24"/>
        </w:rPr>
        <w:t>events)*</w:t>
      </w:r>
      <w:proofErr w:type="gramEnd"/>
    </w:p>
    <w:p w14:paraId="7C03B10F" w14:textId="77777777" w:rsidR="00A467D9" w:rsidRPr="00A8759F" w:rsidRDefault="00A467D9" w:rsidP="00A467D9">
      <w:pPr>
        <w:spacing w:after="0" w:line="240" w:lineRule="auto"/>
        <w:ind w:left="720"/>
        <w:rPr>
          <w:rFonts w:eastAsiaTheme="minorEastAsia" w:cstheme="minorHAnsi"/>
          <w:sz w:val="24"/>
        </w:rPr>
      </w:pPr>
      <w:r w:rsidRPr="00A8759F">
        <w:rPr>
          <w:rFonts w:eastAsiaTheme="minorEastAsia" w:cstheme="minorHAnsi"/>
          <w:sz w:val="24"/>
        </w:rPr>
        <w:tab/>
        <w:t>x 295 average steps to walk the promenade</w:t>
      </w:r>
    </w:p>
    <w:p w14:paraId="34AC74FA" w14:textId="77777777" w:rsidR="00A467D9" w:rsidRPr="00A8759F" w:rsidRDefault="00A467D9" w:rsidP="00A467D9">
      <w:pPr>
        <w:spacing w:after="0" w:line="240" w:lineRule="auto"/>
        <w:ind w:left="720"/>
        <w:rPr>
          <w:rFonts w:eastAsiaTheme="minorEastAsia" w:cstheme="minorHAnsi"/>
          <w:sz w:val="24"/>
        </w:rPr>
      </w:pPr>
      <w:r w:rsidRPr="00A8759F">
        <w:rPr>
          <w:rFonts w:eastAsiaTheme="minorEastAsia" w:cstheme="minorHAnsi"/>
          <w:sz w:val="24"/>
        </w:rPr>
        <w:tab/>
        <w:t>x 5 W continuous power from footsteps</w:t>
      </w:r>
    </w:p>
    <w:p w14:paraId="57105D48" w14:textId="77777777" w:rsidR="00A467D9" w:rsidRPr="00A8759F" w:rsidRDefault="00A467D9" w:rsidP="00A467D9">
      <w:pPr>
        <w:spacing w:after="0" w:line="240" w:lineRule="auto"/>
        <w:ind w:left="720"/>
        <w:rPr>
          <w:rFonts w:eastAsiaTheme="minorEastAsia" w:cstheme="minorHAnsi"/>
          <w:sz w:val="24"/>
        </w:rPr>
      </w:pPr>
      <w:r w:rsidRPr="00A8759F">
        <w:rPr>
          <w:rFonts w:eastAsiaTheme="minorEastAsia" w:cstheme="minorHAnsi"/>
          <w:sz w:val="24"/>
        </w:rPr>
        <w:tab/>
        <w:t>x 365 days per year</w:t>
      </w:r>
    </w:p>
    <w:p w14:paraId="29D7716B" w14:textId="77777777" w:rsidR="00A467D9" w:rsidRPr="00A8759F" w:rsidRDefault="00A467D9" w:rsidP="00A467D9">
      <w:pPr>
        <w:spacing w:after="0" w:line="240" w:lineRule="auto"/>
        <w:ind w:left="720"/>
        <w:rPr>
          <w:rFonts w:eastAsiaTheme="minorEastAsia" w:cstheme="minorHAnsi"/>
          <w:sz w:val="24"/>
        </w:rPr>
      </w:pPr>
      <w:r w:rsidRPr="00A8759F">
        <w:rPr>
          <w:rFonts w:eastAsiaTheme="minorEastAsia" w:cstheme="minorHAnsi"/>
          <w:sz w:val="24"/>
        </w:rPr>
        <w:tab/>
        <w:t xml:space="preserve">÷ 1000000 </w:t>
      </w:r>
      <w:proofErr w:type="spellStart"/>
      <w:r w:rsidRPr="00A8759F">
        <w:rPr>
          <w:rFonts w:eastAsiaTheme="minorEastAsia" w:cstheme="minorHAnsi"/>
          <w:sz w:val="24"/>
        </w:rPr>
        <w:t>Wh</w:t>
      </w:r>
      <w:proofErr w:type="spellEnd"/>
      <w:r w:rsidRPr="00A8759F">
        <w:rPr>
          <w:rFonts w:eastAsiaTheme="minorEastAsia" w:cstheme="minorHAnsi"/>
          <w:sz w:val="24"/>
        </w:rPr>
        <w:t xml:space="preserve"> &gt; MWh</w:t>
      </w:r>
    </w:p>
    <w:p w14:paraId="4926DCAE" w14:textId="77777777" w:rsidR="00A467D9" w:rsidRPr="00A8759F" w:rsidRDefault="00A467D9" w:rsidP="00A467D9">
      <w:pPr>
        <w:spacing w:after="240" w:line="240" w:lineRule="auto"/>
        <w:ind w:left="720"/>
        <w:rPr>
          <w:rFonts w:eastAsiaTheme="minorEastAsia" w:cstheme="minorHAnsi"/>
          <w:b/>
          <w:sz w:val="24"/>
        </w:rPr>
      </w:pPr>
      <w:r w:rsidRPr="00A8759F">
        <w:rPr>
          <w:rFonts w:eastAsiaTheme="minorEastAsia" w:cstheme="minorHAnsi"/>
          <w:sz w:val="24"/>
        </w:rPr>
        <w:tab/>
      </w:r>
      <w:r w:rsidRPr="00A8759F">
        <w:rPr>
          <w:rFonts w:eastAsiaTheme="minorEastAsia" w:cstheme="minorHAnsi"/>
          <w:b/>
          <w:sz w:val="24"/>
        </w:rPr>
        <w:t>= 2,876 MWh</w:t>
      </w:r>
    </w:p>
    <w:p w14:paraId="72ECCBA3" w14:textId="77777777" w:rsidR="00A467D9" w:rsidRPr="00A8759F" w:rsidRDefault="00A467D9" w:rsidP="00A467D9">
      <w:pPr>
        <w:spacing w:after="0" w:line="240" w:lineRule="auto"/>
        <w:ind w:left="720"/>
        <w:rPr>
          <w:rFonts w:eastAsiaTheme="minorEastAsia" w:cstheme="minorHAnsi"/>
          <w:sz w:val="24"/>
        </w:rPr>
      </w:pPr>
      <w:r w:rsidRPr="00A8759F">
        <w:rPr>
          <w:rFonts w:eastAsiaTheme="minorEastAsia" w:cstheme="minorHAnsi"/>
          <w:sz w:val="24"/>
        </w:rPr>
        <w:tab/>
        <w:t>2,876 MWh</w:t>
      </w:r>
    </w:p>
    <w:p w14:paraId="014D108C" w14:textId="77777777" w:rsidR="00A467D9" w:rsidRPr="00A8759F" w:rsidRDefault="00A467D9" w:rsidP="00A467D9">
      <w:pPr>
        <w:spacing w:after="0" w:line="240" w:lineRule="auto"/>
        <w:ind w:left="720"/>
        <w:rPr>
          <w:rFonts w:eastAsiaTheme="minorEastAsia" w:cstheme="minorHAnsi"/>
          <w:sz w:val="24"/>
        </w:rPr>
      </w:pPr>
      <w:r w:rsidRPr="00A8759F">
        <w:rPr>
          <w:rFonts w:eastAsiaTheme="minorEastAsia" w:cstheme="minorHAnsi"/>
          <w:sz w:val="24"/>
        </w:rPr>
        <w:tab/>
        <w:t>÷ 10 MWh per year (inefficient home)</w:t>
      </w:r>
    </w:p>
    <w:p w14:paraId="048086BB" w14:textId="77777777" w:rsidR="00A467D9" w:rsidRPr="00A8759F" w:rsidRDefault="00A467D9" w:rsidP="00A467D9">
      <w:pPr>
        <w:spacing w:after="240" w:line="240" w:lineRule="auto"/>
        <w:ind w:left="720"/>
        <w:rPr>
          <w:rFonts w:eastAsiaTheme="minorEastAsia" w:cstheme="minorHAnsi"/>
          <w:b/>
          <w:sz w:val="24"/>
        </w:rPr>
      </w:pPr>
      <w:r w:rsidRPr="00A8759F">
        <w:rPr>
          <w:rFonts w:eastAsiaTheme="minorEastAsia" w:cstheme="minorHAnsi"/>
          <w:sz w:val="24"/>
        </w:rPr>
        <w:tab/>
      </w:r>
      <w:r w:rsidRPr="00A8759F">
        <w:rPr>
          <w:rFonts w:eastAsiaTheme="minorEastAsia" w:cstheme="minorHAnsi"/>
          <w:b/>
          <w:sz w:val="24"/>
        </w:rPr>
        <w:t>= 287 homes</w:t>
      </w:r>
    </w:p>
    <w:p w14:paraId="51BD6C6E" w14:textId="77777777" w:rsidR="00A467D9" w:rsidRDefault="00A467D9" w:rsidP="00A467D9">
      <w:pPr>
        <w:spacing w:before="120" w:after="120" w:line="240" w:lineRule="auto"/>
        <w:ind w:left="720"/>
        <w:rPr>
          <w:rFonts w:eastAsiaTheme="minorEastAsia" w:cstheme="minorHAnsi"/>
          <w:sz w:val="24"/>
        </w:rPr>
      </w:pPr>
      <w:r w:rsidRPr="00A8759F">
        <w:rPr>
          <w:rFonts w:eastAsiaTheme="minorEastAsia" w:cstheme="minorHAnsi"/>
          <w:sz w:val="24"/>
        </w:rPr>
        <w:t xml:space="preserve">*St Kilda Triangle Comparative Analysis for Cultural Tourism Attractors study conducted in February 2016. </w:t>
      </w:r>
    </w:p>
    <w:p w14:paraId="6AF59BA5" w14:textId="77777777" w:rsidR="00A467D9" w:rsidRDefault="00A467D9" w:rsidP="00A467D9">
      <w:pPr>
        <w:spacing w:before="120" w:after="120" w:line="240" w:lineRule="auto"/>
        <w:ind w:left="720"/>
        <w:rPr>
          <w:rFonts w:eastAsiaTheme="minorEastAsia" w:cstheme="minorHAnsi"/>
          <w:sz w:val="24"/>
        </w:rPr>
      </w:pPr>
    </w:p>
    <w:p w14:paraId="6B61082B" w14:textId="77777777" w:rsidR="00A467D9" w:rsidRPr="00A8759F" w:rsidRDefault="00A467D9" w:rsidP="00A467D9">
      <w:pPr>
        <w:spacing w:before="120" w:after="120" w:line="240" w:lineRule="auto"/>
        <w:ind w:left="720"/>
        <w:rPr>
          <w:rFonts w:eastAsiaTheme="minorEastAsia" w:cstheme="minorHAnsi"/>
          <w:sz w:val="24"/>
        </w:rPr>
      </w:pPr>
      <w:r w:rsidRPr="00A8759F">
        <w:rPr>
          <w:rFonts w:eastAsiaTheme="minorEastAsia" w:cstheme="minorHAnsi"/>
          <w:sz w:val="24"/>
        </w:rPr>
        <w:t>SOLAR STRUCTURE</w:t>
      </w:r>
    </w:p>
    <w:p w14:paraId="048343F3" w14:textId="77777777" w:rsidR="00A467D9" w:rsidRPr="00A8759F" w:rsidRDefault="00A467D9" w:rsidP="00A467D9">
      <w:pPr>
        <w:spacing w:after="0" w:line="240" w:lineRule="auto"/>
        <w:ind w:left="1440"/>
        <w:rPr>
          <w:rFonts w:eastAsiaTheme="minorEastAsia" w:cstheme="minorHAnsi"/>
          <w:sz w:val="24"/>
        </w:rPr>
      </w:pPr>
      <w:r w:rsidRPr="00A8759F">
        <w:rPr>
          <w:rFonts w:eastAsiaTheme="minorEastAsia" w:cstheme="minorHAnsi"/>
          <w:sz w:val="24"/>
        </w:rPr>
        <w:t>x 627 square meters luminescent solar concentrator panels</w:t>
      </w:r>
    </w:p>
    <w:p w14:paraId="3AD26B2A" w14:textId="77777777" w:rsidR="00A467D9" w:rsidRPr="00A8759F" w:rsidRDefault="00A467D9" w:rsidP="00A467D9">
      <w:pPr>
        <w:spacing w:after="0" w:line="240" w:lineRule="auto"/>
        <w:ind w:left="1440"/>
        <w:rPr>
          <w:rFonts w:eastAsiaTheme="minorEastAsia" w:cstheme="minorHAnsi"/>
          <w:sz w:val="24"/>
        </w:rPr>
      </w:pPr>
      <w:r w:rsidRPr="00A8759F">
        <w:rPr>
          <w:rFonts w:eastAsiaTheme="minorEastAsia" w:cstheme="minorHAnsi"/>
          <w:sz w:val="24"/>
        </w:rPr>
        <w:t>x 7 W per square meter conversion</w:t>
      </w:r>
    </w:p>
    <w:p w14:paraId="3565F257" w14:textId="77777777" w:rsidR="00A467D9" w:rsidRPr="00A8759F" w:rsidRDefault="00A467D9" w:rsidP="00A467D9">
      <w:pPr>
        <w:spacing w:after="0" w:line="240" w:lineRule="auto"/>
        <w:ind w:left="1440"/>
        <w:rPr>
          <w:rFonts w:eastAsiaTheme="minorEastAsia" w:cstheme="minorHAnsi"/>
          <w:sz w:val="24"/>
        </w:rPr>
      </w:pPr>
      <w:r w:rsidRPr="00A8759F">
        <w:rPr>
          <w:rFonts w:eastAsiaTheme="minorEastAsia" w:cstheme="minorHAnsi"/>
          <w:sz w:val="24"/>
        </w:rPr>
        <w:t>x 0.20 capacity factor</w:t>
      </w:r>
    </w:p>
    <w:p w14:paraId="230EC368" w14:textId="77777777" w:rsidR="00A467D9" w:rsidRPr="00A8759F" w:rsidRDefault="00A467D9" w:rsidP="00A467D9">
      <w:pPr>
        <w:spacing w:after="0" w:line="240" w:lineRule="auto"/>
        <w:ind w:left="1440"/>
        <w:rPr>
          <w:rFonts w:eastAsiaTheme="minorEastAsia" w:cstheme="minorHAnsi"/>
          <w:sz w:val="24"/>
        </w:rPr>
      </w:pPr>
      <w:r w:rsidRPr="00A8759F">
        <w:rPr>
          <w:rFonts w:eastAsiaTheme="minorEastAsia" w:cstheme="minorHAnsi"/>
          <w:sz w:val="24"/>
        </w:rPr>
        <w:t>x 365 days per year</w:t>
      </w:r>
    </w:p>
    <w:p w14:paraId="086B316B" w14:textId="77777777" w:rsidR="00A467D9" w:rsidRPr="00A8759F" w:rsidRDefault="00A467D9" w:rsidP="00A467D9">
      <w:pPr>
        <w:spacing w:after="0" w:line="240" w:lineRule="auto"/>
        <w:ind w:left="1440"/>
        <w:rPr>
          <w:rFonts w:eastAsiaTheme="minorEastAsia" w:cstheme="minorHAnsi"/>
          <w:sz w:val="24"/>
        </w:rPr>
      </w:pPr>
      <w:r w:rsidRPr="00A8759F">
        <w:rPr>
          <w:rFonts w:eastAsiaTheme="minorEastAsia" w:cstheme="minorHAnsi"/>
          <w:sz w:val="24"/>
        </w:rPr>
        <w:t>x 24 hours per day</w:t>
      </w:r>
    </w:p>
    <w:p w14:paraId="13539809" w14:textId="77777777" w:rsidR="00A467D9" w:rsidRPr="00A8759F" w:rsidRDefault="00A467D9" w:rsidP="00A467D9">
      <w:pPr>
        <w:spacing w:after="0" w:line="240" w:lineRule="auto"/>
        <w:ind w:left="1440"/>
        <w:rPr>
          <w:rFonts w:eastAsiaTheme="minorEastAsia" w:cstheme="minorHAnsi"/>
          <w:sz w:val="24"/>
        </w:rPr>
      </w:pPr>
      <w:r w:rsidRPr="00A8759F">
        <w:rPr>
          <w:rFonts w:eastAsiaTheme="minorEastAsia" w:cstheme="minorHAnsi"/>
          <w:sz w:val="24"/>
        </w:rPr>
        <w:t xml:space="preserve">÷ 1000000 </w:t>
      </w:r>
      <w:proofErr w:type="spellStart"/>
      <w:r w:rsidRPr="00A8759F">
        <w:rPr>
          <w:rFonts w:eastAsiaTheme="minorEastAsia" w:cstheme="minorHAnsi"/>
          <w:sz w:val="24"/>
        </w:rPr>
        <w:t>Wh</w:t>
      </w:r>
      <w:proofErr w:type="spellEnd"/>
      <w:r w:rsidRPr="00A8759F">
        <w:rPr>
          <w:rFonts w:eastAsiaTheme="minorEastAsia" w:cstheme="minorHAnsi"/>
          <w:sz w:val="24"/>
        </w:rPr>
        <w:t xml:space="preserve"> &gt; MWh</w:t>
      </w:r>
    </w:p>
    <w:p w14:paraId="08FC53A9" w14:textId="77777777" w:rsidR="00A467D9" w:rsidRPr="00EE3CDB" w:rsidRDefault="00A467D9" w:rsidP="00A467D9">
      <w:pPr>
        <w:spacing w:after="240" w:line="240" w:lineRule="auto"/>
        <w:ind w:left="1440"/>
        <w:rPr>
          <w:rFonts w:eastAsiaTheme="minorEastAsia" w:cstheme="minorHAnsi"/>
          <w:b/>
          <w:sz w:val="24"/>
        </w:rPr>
      </w:pPr>
      <w:r w:rsidRPr="00EE3CDB">
        <w:rPr>
          <w:rFonts w:eastAsiaTheme="minorEastAsia" w:cstheme="minorHAnsi"/>
          <w:b/>
          <w:sz w:val="24"/>
        </w:rPr>
        <w:t>= 7.689 MWh per year</w:t>
      </w:r>
    </w:p>
    <w:p w14:paraId="53222B52" w14:textId="77777777" w:rsidR="00A467D9" w:rsidRPr="00A8759F" w:rsidRDefault="00A467D9" w:rsidP="00A467D9">
      <w:pPr>
        <w:spacing w:after="0" w:line="240" w:lineRule="auto"/>
        <w:ind w:left="720" w:firstLine="720"/>
        <w:rPr>
          <w:rFonts w:eastAsiaTheme="minorEastAsia" w:cstheme="minorHAnsi"/>
          <w:sz w:val="24"/>
        </w:rPr>
      </w:pPr>
      <w:r w:rsidRPr="00A8759F">
        <w:rPr>
          <w:rFonts w:eastAsiaTheme="minorEastAsia" w:cstheme="minorHAnsi"/>
          <w:sz w:val="24"/>
        </w:rPr>
        <w:t>7.7 MWh per year</w:t>
      </w:r>
    </w:p>
    <w:p w14:paraId="60E4DA14" w14:textId="77777777" w:rsidR="00A467D9" w:rsidRPr="00A8759F" w:rsidRDefault="00A467D9" w:rsidP="00A467D9">
      <w:pPr>
        <w:spacing w:after="0" w:line="240" w:lineRule="auto"/>
        <w:ind w:left="1440"/>
        <w:rPr>
          <w:rFonts w:eastAsiaTheme="minorEastAsia" w:cstheme="minorHAnsi"/>
          <w:sz w:val="24"/>
        </w:rPr>
      </w:pPr>
      <w:r w:rsidRPr="00A8759F">
        <w:rPr>
          <w:rFonts w:eastAsiaTheme="minorEastAsia" w:cstheme="minorHAnsi"/>
          <w:sz w:val="24"/>
        </w:rPr>
        <w:t>÷ 10 MWh per year (inefficient home)</w:t>
      </w:r>
    </w:p>
    <w:p w14:paraId="468F23AE" w14:textId="77777777" w:rsidR="00A467D9" w:rsidRPr="00EE3CDB" w:rsidRDefault="00A467D9" w:rsidP="00A467D9">
      <w:pPr>
        <w:spacing w:after="0" w:line="240" w:lineRule="auto"/>
        <w:ind w:left="1440"/>
        <w:rPr>
          <w:rFonts w:eastAsiaTheme="minorEastAsia" w:cstheme="minorHAnsi"/>
          <w:b/>
          <w:sz w:val="24"/>
        </w:rPr>
      </w:pPr>
      <w:r w:rsidRPr="00EE3CDB">
        <w:rPr>
          <w:rFonts w:eastAsiaTheme="minorEastAsia" w:cstheme="minorHAnsi"/>
          <w:b/>
          <w:sz w:val="24"/>
        </w:rPr>
        <w:t>= &lt;1 home</w:t>
      </w:r>
    </w:p>
    <w:p w14:paraId="7C58B20F" w14:textId="77777777" w:rsidR="00A467D9" w:rsidRPr="00A8759F" w:rsidRDefault="00A467D9" w:rsidP="00A467D9">
      <w:pPr>
        <w:spacing w:before="120" w:after="120" w:line="240" w:lineRule="auto"/>
        <w:ind w:left="720"/>
        <w:rPr>
          <w:rFonts w:eastAsiaTheme="minorEastAsia" w:cstheme="minorHAnsi"/>
          <w:sz w:val="24"/>
        </w:rPr>
      </w:pPr>
    </w:p>
    <w:p w14:paraId="71B3E035" w14:textId="77777777" w:rsidR="00A467D9" w:rsidRPr="00A8759F" w:rsidRDefault="00A467D9" w:rsidP="00A467D9">
      <w:pPr>
        <w:rPr>
          <w:rFonts w:cstheme="minorHAnsi"/>
          <w:b/>
          <w:sz w:val="24"/>
        </w:rPr>
      </w:pPr>
      <w:r w:rsidRPr="00A8759F">
        <w:rPr>
          <w:rFonts w:cstheme="minorHAnsi"/>
          <w:b/>
          <w:sz w:val="24"/>
        </w:rPr>
        <w:br w:type="page"/>
      </w:r>
    </w:p>
    <w:p w14:paraId="1CAD4DB6" w14:textId="77777777" w:rsidR="00A467D9" w:rsidRPr="00A8759F" w:rsidRDefault="00A467D9" w:rsidP="00A467D9">
      <w:pPr>
        <w:rPr>
          <w:rFonts w:cstheme="minorHAnsi"/>
          <w:b/>
          <w:sz w:val="24"/>
        </w:rPr>
      </w:pPr>
      <w:r w:rsidRPr="00A8759F">
        <w:rPr>
          <w:rFonts w:cstheme="minorHAnsi"/>
          <w:b/>
          <w:sz w:val="24"/>
        </w:rPr>
        <w:lastRenderedPageBreak/>
        <w:t>Environmental Impact Summary</w:t>
      </w:r>
    </w:p>
    <w:p w14:paraId="3F8B0DB8" w14:textId="77777777" w:rsidR="00A467D9" w:rsidRPr="0023683E" w:rsidRDefault="00A467D9" w:rsidP="00A467D9">
      <w:pPr>
        <w:rPr>
          <w:rFonts w:cstheme="minorHAnsi"/>
          <w:sz w:val="24"/>
        </w:rPr>
      </w:pPr>
      <w:r w:rsidRPr="0023683E">
        <w:rPr>
          <w:rFonts w:cstheme="minorHAnsi"/>
          <w:sz w:val="24"/>
        </w:rPr>
        <w:t xml:space="preserve">The design and implementation of Energy in Motion poses minimal environmental impacts. Energy that the structures generate is more than enough to offset the lighting of the fixtures at night.  Consideration of the environmental factors outlined in the masterplan were </w:t>
      </w:r>
      <w:proofErr w:type="gramStart"/>
      <w:r w:rsidRPr="0023683E">
        <w:rPr>
          <w:rFonts w:cstheme="minorHAnsi"/>
          <w:sz w:val="24"/>
        </w:rPr>
        <w:t>taken into account</w:t>
      </w:r>
      <w:proofErr w:type="gramEnd"/>
      <w:r w:rsidRPr="0023683E">
        <w:rPr>
          <w:rFonts w:cstheme="minorHAnsi"/>
          <w:sz w:val="24"/>
        </w:rPr>
        <w:t xml:space="preserve"> with the design of Energy in Motion as well as existing views and vistas. </w:t>
      </w:r>
    </w:p>
    <w:p w14:paraId="549A1413" w14:textId="77777777" w:rsidR="00A467D9" w:rsidRDefault="00A467D9" w:rsidP="00A467D9">
      <w:pPr>
        <w:rPr>
          <w:rFonts w:cstheme="minorHAnsi"/>
          <w:sz w:val="24"/>
        </w:rPr>
      </w:pPr>
      <w:r w:rsidRPr="0023683E">
        <w:rPr>
          <w:rFonts w:cstheme="minorHAnsi"/>
          <w:sz w:val="24"/>
        </w:rPr>
        <w:t xml:space="preserve">Design of the glass panels includes a textured pattern that minimizes reflection protecting both vehicular traffic from glare as well as protecting birds against collisions with the structure.  </w:t>
      </w:r>
    </w:p>
    <w:p w14:paraId="3600FAA3" w14:textId="77777777" w:rsidR="00A467D9" w:rsidRPr="00A8759F" w:rsidRDefault="00A467D9" w:rsidP="00A467D9">
      <w:pPr>
        <w:rPr>
          <w:rFonts w:cstheme="minorHAnsi"/>
          <w:b/>
          <w:sz w:val="24"/>
        </w:rPr>
      </w:pPr>
      <w:r w:rsidRPr="00A8759F">
        <w:rPr>
          <w:rFonts w:cstheme="minorHAnsi"/>
          <w:b/>
          <w:sz w:val="24"/>
        </w:rPr>
        <w:t>Art/Sculpture</w:t>
      </w:r>
    </w:p>
    <w:p w14:paraId="5E9C21F8" w14:textId="77777777" w:rsidR="00A467D9" w:rsidRPr="00A8759F" w:rsidRDefault="00A467D9" w:rsidP="00A467D9">
      <w:pPr>
        <w:rPr>
          <w:rFonts w:cstheme="minorHAnsi"/>
          <w:sz w:val="24"/>
          <w:szCs w:val="24"/>
        </w:rPr>
      </w:pPr>
      <w:r w:rsidRPr="00A8759F">
        <w:rPr>
          <w:rFonts w:cstheme="minorHAnsi"/>
          <w:sz w:val="24"/>
        </w:rPr>
        <w:t xml:space="preserve">The luminescent solar concentrator pergola structure provides a translucent overhead structure providing refuge from the sun.  During the day, the color-tinted glass panels allow triangular </w:t>
      </w:r>
      <w:r w:rsidRPr="00A8759F">
        <w:rPr>
          <w:rFonts w:cstheme="minorHAnsi"/>
          <w:sz w:val="24"/>
          <w:szCs w:val="24"/>
        </w:rPr>
        <w:t xml:space="preserve">shadows to be cast on the ground plane creating a 2-dimensional piece of art in addition to the 3-dimensional structure itself.  </w:t>
      </w:r>
    </w:p>
    <w:p w14:paraId="26D0105F" w14:textId="77777777" w:rsidR="00A467D9" w:rsidRPr="00A8759F" w:rsidRDefault="00A467D9" w:rsidP="00A467D9">
      <w:pPr>
        <w:rPr>
          <w:rFonts w:cstheme="minorHAnsi"/>
          <w:sz w:val="24"/>
          <w:szCs w:val="24"/>
        </w:rPr>
      </w:pPr>
      <w:r w:rsidRPr="00A8759F">
        <w:rPr>
          <w:rFonts w:cstheme="minorHAnsi"/>
          <w:sz w:val="24"/>
          <w:szCs w:val="24"/>
        </w:rPr>
        <w:t xml:space="preserve">The trapezoidal sculptures are also constructed of LSC glass panels on steel frames. Similar structures are used for the two crosswalks of the site to the oceanfront.  Intended to be landmarks of the site, the sculptures provide various framed views of the ocean and landscape when </w:t>
      </w:r>
      <w:r>
        <w:rPr>
          <w:rFonts w:cstheme="minorHAnsi"/>
          <w:sz w:val="24"/>
          <w:szCs w:val="24"/>
        </w:rPr>
        <w:t>viewed</w:t>
      </w:r>
      <w:r w:rsidRPr="00A8759F">
        <w:rPr>
          <w:rFonts w:cstheme="minorHAnsi"/>
          <w:sz w:val="24"/>
          <w:szCs w:val="24"/>
        </w:rPr>
        <w:t xml:space="preserve"> from different angles.  </w:t>
      </w:r>
    </w:p>
    <w:p w14:paraId="1710C7DC" w14:textId="77777777" w:rsidR="00A467D9" w:rsidRPr="00A8759F" w:rsidRDefault="00A467D9" w:rsidP="00A467D9">
      <w:pPr>
        <w:rPr>
          <w:rFonts w:cstheme="minorHAnsi"/>
          <w:sz w:val="24"/>
          <w:szCs w:val="24"/>
        </w:rPr>
      </w:pPr>
      <w:r w:rsidRPr="00A8759F">
        <w:rPr>
          <w:rFonts w:cstheme="minorHAnsi"/>
          <w:sz w:val="24"/>
          <w:szCs w:val="24"/>
        </w:rPr>
        <w:t xml:space="preserve">Piezoelectric tiles in the grass lawn contribute to a playful ground plane enticing people to engage in a game of jumping from tile to tile. The lights on the tiles turn brighter when engaged in activity.  Piezoelectric slides connect the upper promenade to the </w:t>
      </w:r>
      <w:proofErr w:type="spellStart"/>
      <w:r w:rsidRPr="00A8759F">
        <w:rPr>
          <w:rFonts w:cstheme="minorHAnsi"/>
          <w:sz w:val="24"/>
          <w:szCs w:val="24"/>
        </w:rPr>
        <w:t>Jacka</w:t>
      </w:r>
      <w:proofErr w:type="spellEnd"/>
      <w:r w:rsidRPr="00A8759F">
        <w:rPr>
          <w:rFonts w:cstheme="minorHAnsi"/>
          <w:sz w:val="24"/>
          <w:szCs w:val="24"/>
        </w:rPr>
        <w:t xml:space="preserve"> Plaza generating yet even more energy.  Energy in Motion is a destination enjoyed by Melbourne residents and tourists alike.  </w:t>
      </w:r>
    </w:p>
    <w:bookmarkEnd w:id="0"/>
    <w:p w14:paraId="4C1E9AA5" w14:textId="77777777" w:rsidR="00047390" w:rsidRDefault="00A467D9"/>
    <w:sectPr w:rsidR="0004739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eg Calkins" w:date="2018-05-03T13:18:00Z" w:initials="MC">
    <w:p w14:paraId="79CFF100" w14:textId="77777777" w:rsidR="00A467D9" w:rsidRDefault="00A467D9" w:rsidP="00A467D9">
      <w:pPr>
        <w:pStyle w:val="CommentText"/>
      </w:pPr>
      <w:r>
        <w:rPr>
          <w:rStyle w:val="CommentReference"/>
        </w:rPr>
        <w:annotationRef/>
      </w:r>
      <w:r>
        <w:t>Inefficient????</w:t>
      </w:r>
    </w:p>
  </w:comment>
  <w:comment w:id="2" w:author="Cavell, Lisa" w:date="2018-05-03T13:39:00Z" w:initials="CL">
    <w:p w14:paraId="395D820A" w14:textId="77777777" w:rsidR="00A467D9" w:rsidRDefault="00A467D9" w:rsidP="00A467D9">
      <w:pPr>
        <w:pStyle w:val="CommentText"/>
      </w:pPr>
      <w:r>
        <w:rPr>
          <w:rStyle w:val="CommentReference"/>
        </w:rPr>
        <w:annotationRef/>
      </w:r>
      <w:r>
        <w:t>10 MWh is what the LAGI energy flashcards constituted as ‘inefficient’; we used that as a guideline for our calculations.</w:t>
      </w:r>
    </w:p>
  </w:comment>
  <w:comment w:id="3" w:author="Cavell, Lisa" w:date="2018-05-03T13:40:00Z" w:initials="CL">
    <w:p w14:paraId="535288FB" w14:textId="77777777" w:rsidR="00A467D9" w:rsidRDefault="00A467D9" w:rsidP="00A467D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CFF100" w15:done="1"/>
  <w15:commentEx w15:paraId="395D820A" w15:paraIdParent="79CFF100" w15:done="1"/>
  <w15:commentEx w15:paraId="535288FB" w15:paraIdParent="79CFF10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CFF100" w16cid:durableId="1E958F72"/>
  <w16cid:commentId w16cid:paraId="395D820A" w16cid:durableId="1E958FA3"/>
  <w16cid:commentId w16cid:paraId="535288FB" w16cid:durableId="1E958F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vell, Lisa">
    <w15:presenceInfo w15:providerId="None" w15:userId="Cavell, L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D9"/>
    <w:rsid w:val="00A14D9A"/>
    <w:rsid w:val="00A467D9"/>
    <w:rsid w:val="00D4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44D3"/>
  <w15:chartTrackingRefBased/>
  <w15:docId w15:val="{FC55AB84-87C0-4C04-87FB-A28A1536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67D9"/>
    <w:rPr>
      <w:sz w:val="18"/>
      <w:szCs w:val="18"/>
    </w:rPr>
  </w:style>
  <w:style w:type="paragraph" w:styleId="CommentText">
    <w:name w:val="annotation text"/>
    <w:basedOn w:val="Normal"/>
    <w:link w:val="CommentTextChar"/>
    <w:uiPriority w:val="99"/>
    <w:semiHidden/>
    <w:unhideWhenUsed/>
    <w:rsid w:val="00A467D9"/>
    <w:pPr>
      <w:spacing w:line="240" w:lineRule="auto"/>
    </w:pPr>
    <w:rPr>
      <w:sz w:val="24"/>
      <w:szCs w:val="24"/>
    </w:rPr>
  </w:style>
  <w:style w:type="character" w:customStyle="1" w:styleId="CommentTextChar">
    <w:name w:val="Comment Text Char"/>
    <w:basedOn w:val="DefaultParagraphFont"/>
    <w:link w:val="CommentText"/>
    <w:uiPriority w:val="99"/>
    <w:semiHidden/>
    <w:rsid w:val="00A467D9"/>
    <w:rPr>
      <w:sz w:val="24"/>
      <w:szCs w:val="24"/>
    </w:rPr>
  </w:style>
  <w:style w:type="paragraph" w:styleId="BalloonText">
    <w:name w:val="Balloon Text"/>
    <w:basedOn w:val="Normal"/>
    <w:link w:val="BalloonTextChar"/>
    <w:uiPriority w:val="99"/>
    <w:semiHidden/>
    <w:unhideWhenUsed/>
    <w:rsid w:val="00A4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Cavell, Lisa</dc:creator>
  <cp:keywords/>
  <dc:description/>
  <cp:lastModifiedBy>Cavell, Lisa</cp:lastModifiedBy>
  <cp:revision>1</cp:revision>
  <dcterms:created xsi:type="dcterms:W3CDTF">2018-05-03T18:00:00Z</dcterms:created>
  <dcterms:modified xsi:type="dcterms:W3CDTF">2018-05-03T18:00:00Z</dcterms:modified>
</cp:coreProperties>
</file>